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tabs>
          <w:tab w:val="right" w:pos="10440"/>
          <w:tab w:val="right" w:pos="13323"/>
        </w:tabs>
        <w:spacing w:after="0"/>
        <w:rPr>
          <w:rFonts w:hint="eastAsia" w:eastAsia="宋体" w:cs="Arial"/>
          <w:sz w:val="24"/>
          <w:szCs w:val="24"/>
          <w:lang w:val="en-US" w:eastAsia="zh-CN"/>
        </w:rPr>
      </w:pPr>
      <w:bookmarkStart w:id="0" w:name="DocumentFor"/>
      <w:bookmarkEnd w:id="0"/>
      <w:bookmarkStart w:id="1" w:name="Title"/>
      <w:bookmarkEnd w:id="1"/>
      <w:bookmarkStart w:id="2" w:name="_Toc193024528"/>
      <w:r>
        <w:rPr>
          <w:rFonts w:cs="Arial"/>
          <w:sz w:val="24"/>
          <w:szCs w:val="24"/>
        </w:rPr>
        <w:t>3GPP TSG RAN Meeting #</w:t>
      </w:r>
      <w:r>
        <w:rPr>
          <w:rFonts w:hint="eastAsia" w:eastAsia="宋体" w:cs="Arial"/>
          <w:sz w:val="24"/>
          <w:szCs w:val="24"/>
          <w:lang w:val="en-US" w:eastAsia="zh-CN"/>
        </w:rPr>
        <w:t xml:space="preserve">103                                           </w:t>
      </w:r>
      <w:r>
        <w:rPr>
          <w:rFonts w:eastAsia="宋体" w:cs="Arial"/>
          <w:sz w:val="24"/>
          <w:szCs w:val="24"/>
          <w:lang w:val="en-US" w:eastAsia="zh-CN"/>
        </w:rPr>
        <w:t xml:space="preserve">        </w:t>
      </w:r>
      <w:r>
        <w:rPr>
          <w:rFonts w:hint="eastAsia" w:eastAsia="宋体" w:cs="Arial"/>
          <w:sz w:val="24"/>
          <w:szCs w:val="24"/>
          <w:lang w:val="en-US" w:eastAsia="zh-CN"/>
        </w:rPr>
        <w:t xml:space="preserve">     </w:t>
      </w:r>
      <w:r>
        <w:rPr>
          <w:rFonts w:eastAsia="宋体" w:cs="Arial"/>
          <w:sz w:val="24"/>
          <w:szCs w:val="24"/>
          <w:lang w:val="en-US" w:eastAsia="zh-CN"/>
        </w:rPr>
        <w:t xml:space="preserve">                </w:t>
      </w:r>
      <w:r>
        <w:rPr>
          <w:rFonts w:hint="eastAsia" w:eastAsia="宋体" w:cs="Arial"/>
          <w:sz w:val="24"/>
          <w:szCs w:val="24"/>
          <w:lang w:val="en-US" w:eastAsia="zh-CN"/>
        </w:rPr>
        <w:t xml:space="preserve">  </w:t>
      </w:r>
      <w:r>
        <w:rPr>
          <w:rFonts w:hint="eastAsia" w:cs="Arial"/>
          <w:sz w:val="24"/>
          <w:szCs w:val="24"/>
        </w:rPr>
        <w:t>RP-240469</w:t>
      </w:r>
    </w:p>
    <w:p>
      <w:pPr>
        <w:pStyle w:val="53"/>
        <w:keepNext/>
        <w:keepLines/>
        <w:tabs>
          <w:tab w:val="right" w:pos="10440"/>
          <w:tab w:val="right" w:pos="13323"/>
        </w:tabs>
        <w:spacing w:after="0"/>
        <w:rPr>
          <w:rFonts w:cs="Arial"/>
          <w:sz w:val="24"/>
          <w:szCs w:val="24"/>
          <w:lang w:eastAsia="zh-CN"/>
        </w:rPr>
      </w:pPr>
      <w:r>
        <w:rPr>
          <w:rFonts w:hint="eastAsia" w:cs="Arial"/>
          <w:sz w:val="24"/>
          <w:szCs w:val="24"/>
          <w:lang w:eastAsia="zh-CN"/>
        </w:rPr>
        <w:t>Maastricht , NL, March 18 – 2</w:t>
      </w:r>
      <w:r>
        <w:rPr>
          <w:rFonts w:hint="eastAsia" w:cs="Arial"/>
          <w:sz w:val="24"/>
          <w:szCs w:val="24"/>
          <w:lang w:val="en-US" w:eastAsia="zh-CN"/>
        </w:rPr>
        <w:t>1</w:t>
      </w:r>
      <w:bookmarkStart w:id="9" w:name="_GoBack"/>
      <w:bookmarkEnd w:id="9"/>
      <w:r>
        <w:rPr>
          <w:rFonts w:hint="eastAsia" w:cs="Arial"/>
          <w:sz w:val="24"/>
          <w:szCs w:val="24"/>
          <w:lang w:eastAsia="zh-CN"/>
        </w:rPr>
        <w:t>, 2024</w:t>
      </w:r>
    </w:p>
    <w:p>
      <w:pPr>
        <w:pStyle w:val="53"/>
        <w:keepNext/>
        <w:keepLines/>
        <w:tabs>
          <w:tab w:val="right" w:pos="10440"/>
          <w:tab w:val="right" w:pos="13323"/>
        </w:tabs>
        <w:spacing w:after="0"/>
        <w:rPr>
          <w:rFonts w:cs="Arial"/>
          <w:szCs w:val="18"/>
          <w:lang w:val="en-US" w:eastAsia="zh-CN"/>
        </w:rPr>
      </w:pPr>
    </w:p>
    <w:p>
      <w:pPr>
        <w:pStyle w:val="53"/>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Pr>
          <w:rFonts w:hint="default" w:eastAsia="宋体" w:cs="Arial"/>
          <w:b w:val="0"/>
          <w:sz w:val="20"/>
          <w:lang w:val="en-US" w:eastAsia="zh-CN"/>
        </w:rPr>
        <w:t>,</w:t>
      </w:r>
      <w:r>
        <w:rPr>
          <w:rFonts w:ascii="Arial" w:hAnsi="Arial" w:eastAsia="宋体" w:cs="Arial"/>
          <w:b w:val="0"/>
          <w:i w:val="0"/>
          <w:iCs w:val="0"/>
          <w:caps w:val="0"/>
          <w:spacing w:val="0"/>
          <w:sz w:val="20"/>
          <w:szCs w:val="20"/>
          <w:shd w:val="clear"/>
          <w:lang w:eastAsia="zh-CN"/>
        </w:rPr>
        <w:t>Sanechips</w:t>
      </w:r>
    </w:p>
    <w:p>
      <w:pPr>
        <w:pStyle w:val="53"/>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Pr>
          <w:rFonts w:hint="eastAsia"/>
          <w:b w:val="0"/>
          <w:bCs/>
          <w:sz w:val="20"/>
          <w:lang w:val="en-US" w:eastAsia="zh-CN"/>
        </w:rPr>
        <w:t>Views on Rel-19 UE RF enhancement</w:t>
      </w:r>
    </w:p>
    <w:p>
      <w:pPr>
        <w:pStyle w:val="53"/>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hint="eastAsia" w:cs="Arial"/>
          <w:b w:val="0"/>
          <w:bCs/>
          <w:sz w:val="20"/>
          <w:lang w:val="en-US" w:eastAsia="zh-CN"/>
        </w:rPr>
        <w:t>9.1.4.1</w:t>
      </w:r>
    </w:p>
    <w:p>
      <w:pPr>
        <w:pStyle w:val="53"/>
        <w:keepNext/>
        <w:keepLines/>
        <w:tabs>
          <w:tab w:val="left" w:pos="2160"/>
        </w:tabs>
        <w:spacing w:before="180" w:after="120"/>
        <w:ind w:left="2610" w:hanging="2610"/>
        <w:jc w:val="both"/>
        <w:rPr>
          <w:rFonts w:hint="default" w:eastAsia="宋体" w:cs="Arial"/>
          <w:sz w:val="20"/>
          <w:lang w:val="en-US" w:eastAsia="zh-CN"/>
        </w:rPr>
      </w:pPr>
      <w:r>
        <w:rPr>
          <w:rFonts w:cs="Arial"/>
          <w:sz w:val="20"/>
          <w:lang w:eastAsia="zh-CN"/>
        </w:rPr>
        <w:t>Document for:</w:t>
      </w:r>
      <w:r>
        <w:rPr>
          <w:rFonts w:cs="Arial"/>
          <w:sz w:val="20"/>
          <w:lang w:eastAsia="zh-CN"/>
        </w:rPr>
        <w:tab/>
      </w:r>
      <w:r>
        <w:rPr>
          <w:rFonts w:hint="eastAsia" w:eastAsia="宋体" w:cs="Arial"/>
          <w:b w:val="0"/>
          <w:sz w:val="20"/>
          <w:lang w:val="en-US" w:eastAsia="zh-CN"/>
        </w:rPr>
        <w:t>Discussion/Decision</w:t>
      </w: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1</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Introduction</w:t>
      </w:r>
    </w:p>
    <w:p>
      <w:pPr>
        <w:spacing w:before="120" w:beforeLines="50"/>
        <w:rPr>
          <w:rFonts w:hint="default" w:eastAsia="宋体"/>
          <w:b/>
          <w:sz w:val="24"/>
          <w:szCs w:val="24"/>
          <w:lang w:val="en-US" w:eastAsia="zh-CN"/>
        </w:rPr>
      </w:pPr>
      <w:r>
        <w:rPr>
          <w:rFonts w:hint="eastAsia" w:eastAsia="宋体"/>
          <w:sz w:val="20"/>
          <w:lang w:val="en-US" w:eastAsia="zh-CN"/>
        </w:rPr>
        <w:t>In this contribution, we would like to share some further views on UE RF enhancement based on the latest summary [1].</w:t>
      </w:r>
    </w:p>
    <w:p>
      <w:pPr>
        <w:pStyle w:val="2"/>
        <w:widowControl w:val="0"/>
        <w:numPr>
          <w:ilvl w:val="0"/>
          <w:numId w:val="0"/>
        </w:numPr>
        <w:tabs>
          <w:tab w:val="clear" w:pos="420"/>
        </w:tabs>
        <w:spacing w:before="0" w:after="120"/>
        <w:rPr>
          <w:rFonts w:hint="default" w:ascii="Times New Roman" w:hAnsi="Times New Roman" w:eastAsia="宋体"/>
          <w:b/>
          <w:sz w:val="24"/>
          <w:szCs w:val="24"/>
          <w:lang w:val="en-US" w:eastAsia="zh-CN"/>
        </w:rPr>
      </w:pPr>
      <w:r>
        <w:rPr>
          <w:rFonts w:ascii="Times New Roman" w:hAnsi="Times New Roman" w:eastAsia="宋体"/>
          <w:b/>
          <w:sz w:val="24"/>
          <w:szCs w:val="24"/>
          <w:lang w:val="en-US" w:eastAsia="zh-CN"/>
        </w:rPr>
        <w:t>2</w:t>
      </w:r>
      <w:r>
        <w:rPr>
          <w:rFonts w:hint="eastAsia" w:ascii="Times New Roman" w:hAnsi="Times New Roman" w:eastAsia="宋体"/>
          <w:b/>
          <w:sz w:val="24"/>
          <w:szCs w:val="24"/>
          <w:lang w:val="en-US" w:eastAsia="zh-CN"/>
        </w:rPr>
        <w:t xml:space="preserve"> Discussion</w:t>
      </w:r>
    </w:p>
    <w:p>
      <w:pPr>
        <w:spacing w:before="120" w:beforeLines="50"/>
        <w:outlineLvl w:val="1"/>
        <w:rPr>
          <w:rFonts w:hint="default"/>
          <w:lang w:val="en-US" w:eastAsia="zh-CN"/>
        </w:rPr>
      </w:pPr>
      <w:r>
        <w:rPr>
          <w:rFonts w:hint="eastAsia" w:eastAsia="宋体"/>
          <w:sz w:val="20"/>
          <w:lang w:val="en-US" w:eastAsia="zh-CN"/>
        </w:rPr>
        <w:t>2.1. HPUE</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High power UE (HPUE) for CA (non-spectrum item for the combinations which need generic requirements)</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PC1.5 UE for intra-band contiguous CA with or without UL MIMO with 2Tx</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PC1.5 UE for two band inter-band CA with 2Tx and/or 3Tx for handheld and FWA</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highlight w:val="none"/>
          <w:lang w:val="en-US" w:eastAsia="zh-CN"/>
        </w:rPr>
      </w:pPr>
      <w:r>
        <w:rPr>
          <w:rFonts w:hint="eastAsia" w:eastAsia="宋体"/>
          <w:sz w:val="20"/>
          <w:highlight w:val="none"/>
          <w:lang w:val="en-US" w:eastAsia="zh-CN"/>
        </w:rPr>
        <w:t>3Tx specifics: Also PC2?; EN-DC?</w:t>
      </w:r>
    </w:p>
    <w:p>
      <w:pPr>
        <w:spacing w:before="120" w:beforeLines="50"/>
        <w:rPr>
          <w:rFonts w:hint="eastAsia" w:eastAsia="宋体"/>
          <w:sz w:val="20"/>
          <w:highlight w:val="none"/>
          <w:lang w:val="en-US" w:eastAsia="zh-CN"/>
        </w:rPr>
      </w:pPr>
      <w:r>
        <w:rPr>
          <w:rFonts w:hint="eastAsia" w:eastAsia="宋体"/>
          <w:sz w:val="20"/>
          <w:highlight w:val="none"/>
          <w:lang w:val="en-US" w:eastAsia="zh-CN"/>
        </w:rPr>
        <w:t>Generic framework of support increasing UE power high limit for inter-band CA HPUE (only for TN) for different power classes</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highlight w:val="none"/>
          <w:lang w:val="en-US" w:eastAsia="zh-CN"/>
        </w:rPr>
      </w:pPr>
      <w:r>
        <w:rPr>
          <w:rFonts w:hint="eastAsia" w:eastAsia="宋体"/>
          <w:sz w:val="20"/>
          <w:highlight w:val="none"/>
          <w:lang w:val="en-US" w:eastAsia="zh-CN"/>
        </w:rPr>
        <w:t>Do we need a study phase, e.g.. in 2Q’24 (1 quarter)?</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Further discussion on other type of HPUE CA band combinations.</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Further discussion on whether to introduction of HPUE for EN-DC</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Further discussion on whether to introduce PC1.5 for intra-band non-contiguous</w:t>
      </w:r>
    </w:p>
    <w:p>
      <w:pPr>
        <w:spacing w:before="120" w:beforeLines="50"/>
        <w:rPr>
          <w:rFonts w:eastAsia="宋体"/>
          <w:sz w:val="20"/>
          <w:lang w:val="en-US" w:eastAsia="zh-CN"/>
        </w:rPr>
      </w:pPr>
    </w:p>
    <w:p>
      <w:pPr>
        <w:spacing w:before="120" w:beforeLines="5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Regarding the PC1.5 UE for two band inter-band CA with 3Tx, indeed PC1.5 3Tx ENDC band combination is included in the objectives in </w:t>
      </w:r>
      <w:bookmarkStart w:id="3" w:name="OLE_LINK1"/>
      <w:r>
        <w:rPr>
          <w:rFonts w:hint="default" w:ascii="Times New Roman" w:hAnsi="Times New Roman" w:eastAsia="宋体" w:cs="Times New Roman"/>
          <w:sz w:val="20"/>
          <w:szCs w:val="20"/>
          <w:lang w:val="en-US" w:eastAsia="zh-CN"/>
        </w:rPr>
        <w:t xml:space="preserve">current Rel-18 3Tx </w:t>
      </w:r>
      <w:r>
        <w:rPr>
          <w:rFonts w:hint="eastAsia" w:eastAsia="宋体" w:cs="Times New Roman"/>
          <w:sz w:val="20"/>
          <w:szCs w:val="20"/>
          <w:lang w:val="en-US" w:eastAsia="zh-CN"/>
        </w:rPr>
        <w:t xml:space="preserve">related </w:t>
      </w:r>
      <w:r>
        <w:rPr>
          <w:rFonts w:hint="default" w:ascii="Times New Roman" w:hAnsi="Times New Roman" w:eastAsia="宋体" w:cs="Times New Roman"/>
          <w:sz w:val="20"/>
          <w:szCs w:val="20"/>
          <w:lang w:val="en-US" w:eastAsia="zh-CN"/>
        </w:rPr>
        <w:t>WIDs</w:t>
      </w:r>
      <w:bookmarkEnd w:id="3"/>
      <w:r>
        <w:rPr>
          <w:rFonts w:hint="default" w:ascii="Times New Roman" w:hAnsi="Times New Roman" w:eastAsia="宋体" w:cs="Times New Roman"/>
          <w:sz w:val="20"/>
          <w:szCs w:val="20"/>
          <w:lang w:val="en-US" w:eastAsia="zh-CN"/>
        </w:rPr>
        <w:t xml:space="preserve">, however there were no PC1.5 3Tx ENDC band combinations included </w:t>
      </w:r>
      <w:r>
        <w:rPr>
          <w:rFonts w:hint="eastAsia" w:eastAsia="宋体" w:cs="Times New Roman"/>
          <w:sz w:val="20"/>
          <w:szCs w:val="20"/>
          <w:lang w:val="en-US" w:eastAsia="zh-CN"/>
        </w:rPr>
        <w:t xml:space="preserve">in the latest WID in the </w:t>
      </w:r>
      <w:r>
        <w:rPr>
          <w:rFonts w:hint="default" w:ascii="Times New Roman" w:hAnsi="Times New Roman" w:eastAsia="宋体" w:cs="Times New Roman"/>
          <w:sz w:val="20"/>
          <w:szCs w:val="20"/>
          <w:lang w:val="en-US" w:eastAsia="zh-CN"/>
        </w:rPr>
        <w:t>RAN4 last meeting (i.e. RAN4 #110) due to no operators requested PC1.5 3Tx ENDC band combination so far. In our understanding, if there are no clear operator demands for PC1.5 3Tx ENDC band combination, then there is no need to include this type of 3Tx band combination.</w:t>
      </w:r>
    </w:p>
    <w:p>
      <w:pPr>
        <w:keepNext w:val="0"/>
        <w:keepLines w:val="0"/>
        <w:widowControl/>
        <w:suppressLineNumbers w:val="0"/>
        <w:jc w:val="left"/>
        <w:rPr>
          <w:rFonts w:hint="default" w:eastAsia="宋体" w:cs="Times New Roman"/>
          <w:i w:val="0"/>
          <w:iCs w:val="0"/>
          <w:color w:val="000000"/>
          <w:kern w:val="0"/>
          <w:sz w:val="20"/>
          <w:szCs w:val="20"/>
          <w:lang w:val="en-US" w:eastAsia="zh-CN" w:bidi="ar"/>
        </w:rPr>
      </w:pPr>
      <w:r>
        <w:rPr>
          <w:rFonts w:hint="default" w:ascii="Times New Roman" w:hAnsi="Times New Roman" w:eastAsia="宋体" w:cs="Times New Roman"/>
          <w:sz w:val="20"/>
          <w:szCs w:val="20"/>
          <w:lang w:val="en-US" w:eastAsia="zh-CN"/>
        </w:rPr>
        <w:t xml:space="preserve">For 3Tx inter-band CA, both PC2 and PC1.5 CA power class are included in current Rel-18 3Tx </w:t>
      </w:r>
      <w:r>
        <w:rPr>
          <w:rFonts w:hint="eastAsia" w:eastAsia="宋体" w:cs="Times New Roman"/>
          <w:sz w:val="20"/>
          <w:szCs w:val="20"/>
          <w:lang w:val="en-US" w:eastAsia="zh-CN"/>
        </w:rPr>
        <w:t xml:space="preserve">related </w:t>
      </w:r>
      <w:r>
        <w:rPr>
          <w:rFonts w:hint="default" w:ascii="Times New Roman" w:hAnsi="Times New Roman" w:eastAsia="宋体" w:cs="Times New Roman"/>
          <w:sz w:val="20"/>
          <w:szCs w:val="20"/>
          <w:lang w:val="en-US" w:eastAsia="zh-CN"/>
        </w:rPr>
        <w:t xml:space="preserve">WIDs, and there were several PC2 and PC1.5 3Tx inter-band CA band combination included. Meanwhile, there are ongoing requests for PC2 3Tx inter-band CA band combinations from operators. Moreover, technically speaking, PC2 band combination can be seen as the </w:t>
      </w:r>
      <w:bookmarkStart w:id="4" w:name="OLE_LINK5"/>
      <w:r>
        <w:rPr>
          <w:rFonts w:hint="default" w:ascii="Times New Roman" w:hAnsi="Times New Roman" w:eastAsia="宋体" w:cs="Times New Roman"/>
          <w:sz w:val="20"/>
          <w:szCs w:val="20"/>
          <w:lang w:val="en-US" w:eastAsia="zh-CN"/>
        </w:rPr>
        <w:t>power fallback behavior</w:t>
      </w:r>
      <w:bookmarkEnd w:id="4"/>
      <w:r>
        <w:rPr>
          <w:rFonts w:hint="default" w:ascii="Times New Roman" w:hAnsi="Times New Roman" w:eastAsia="宋体" w:cs="Times New Roman"/>
          <w:sz w:val="20"/>
          <w:szCs w:val="20"/>
          <w:lang w:val="en-US" w:eastAsia="zh-CN"/>
        </w:rPr>
        <w:t xml:space="preserve"> of PC1.5 band combination when the duty cycle condition is met such as </w:t>
      </w:r>
      <w:r>
        <w:rPr>
          <w:rFonts w:hint="default" w:ascii="Times New Roman" w:hAnsi="Times New Roman" w:eastAsia="宋体" w:cs="Times New Roman"/>
          <w:color w:val="000000"/>
          <w:kern w:val="0"/>
          <w:sz w:val="20"/>
          <w:szCs w:val="20"/>
          <w:lang w:val="en-US" w:eastAsia="zh-CN" w:bidi="ar"/>
        </w:rPr>
        <w:t>the average percentage of uplink symbols transmitted in a certain evaluation period is larger than 0.5</w:t>
      </w:r>
      <w:r>
        <w:rPr>
          <w:rFonts w:hint="default" w:ascii="Times New Roman" w:hAnsi="Times New Roman" w:eastAsia="宋体" w:cs="Times New Roman"/>
          <w:i/>
          <w:iCs/>
          <w:color w:val="000000"/>
          <w:kern w:val="0"/>
          <w:sz w:val="20"/>
          <w:szCs w:val="20"/>
          <w:lang w:val="en-US" w:eastAsia="zh-CN" w:bidi="ar"/>
        </w:rPr>
        <w:t xml:space="preserve">maxUplinkDutyCycle-interBandCA-PC2 </w:t>
      </w:r>
      <w:r>
        <w:rPr>
          <w:rFonts w:hint="default" w:ascii="Times New Roman" w:hAnsi="Times New Roman" w:eastAsia="宋体" w:cs="Times New Roman"/>
          <w:color w:val="000000"/>
          <w:kern w:val="0"/>
          <w:sz w:val="20"/>
          <w:szCs w:val="20"/>
          <w:lang w:val="en-US" w:eastAsia="zh-CN" w:bidi="ar"/>
        </w:rPr>
        <w:t xml:space="preserve">but less than or equal to </w:t>
      </w:r>
      <w:r>
        <w:rPr>
          <w:rFonts w:hint="default" w:ascii="Times New Roman" w:hAnsi="Times New Roman" w:eastAsia="宋体" w:cs="Times New Roman"/>
          <w:i/>
          <w:iCs/>
          <w:color w:val="000000"/>
          <w:kern w:val="0"/>
          <w:sz w:val="20"/>
          <w:szCs w:val="20"/>
          <w:lang w:val="en-US" w:eastAsia="zh-CN" w:bidi="ar"/>
        </w:rPr>
        <w:t>maxUplinkDutyCycle-interBandCA-PC2</w:t>
      </w:r>
      <w:r>
        <w:rPr>
          <w:rFonts w:hint="default" w:ascii="Times New Roman" w:hAnsi="Times New Roman" w:eastAsia="宋体" w:cs="Times New Roman"/>
          <w:i w:val="0"/>
          <w:iCs w:val="0"/>
          <w:color w:val="000000"/>
          <w:kern w:val="0"/>
          <w:sz w:val="20"/>
          <w:szCs w:val="20"/>
          <w:lang w:val="en-US" w:eastAsia="zh-CN" w:bidi="ar"/>
        </w:rPr>
        <w:t>.</w:t>
      </w:r>
      <w:r>
        <w:rPr>
          <w:rFonts w:hint="eastAsia" w:eastAsia="宋体" w:cs="Times New Roman"/>
          <w:i w:val="0"/>
          <w:iCs w:val="0"/>
          <w:color w:val="000000"/>
          <w:kern w:val="0"/>
          <w:sz w:val="20"/>
          <w:szCs w:val="20"/>
          <w:lang w:val="en-US" w:eastAsia="zh-CN" w:bidi="ar"/>
        </w:rPr>
        <w:t xml:space="preserve"> In other words, PC2 3Tx band combination shall be supported when PC1.5 3Tx band combinations are supported. Otherwise, the </w:t>
      </w:r>
      <w:r>
        <w:rPr>
          <w:rFonts w:hint="default" w:ascii="Times New Roman" w:hAnsi="Times New Roman" w:eastAsia="宋体" w:cs="Times New Roman"/>
          <w:sz w:val="20"/>
          <w:szCs w:val="20"/>
          <w:lang w:val="en-US" w:eastAsia="zh-CN"/>
        </w:rPr>
        <w:t>power fallback behavior</w:t>
      </w:r>
      <w:r>
        <w:rPr>
          <w:rFonts w:hint="eastAsia" w:ascii="Times New Roman" w:hAnsi="Times New Roman" w:eastAsia="宋体" w:cs="Times New Roman"/>
          <w:sz w:val="20"/>
          <w:szCs w:val="20"/>
          <w:lang w:val="en-US" w:eastAsia="zh-CN"/>
        </w:rPr>
        <w:t xml:space="preserve"> would be problematic.</w:t>
      </w:r>
    </w:p>
    <w:p>
      <w:pPr>
        <w:keepNext w:val="0"/>
        <w:keepLines w:val="0"/>
        <w:widowControl/>
        <w:suppressLineNumbers w:val="0"/>
        <w:jc w:val="left"/>
        <w:rPr>
          <w:rFonts w:hint="default" w:ascii="Times New Roman" w:hAnsi="Times New Roman" w:cs="Times New Roman"/>
          <w:sz w:val="20"/>
          <w:szCs w:val="20"/>
          <w:lang w:val="en-US"/>
        </w:rPr>
      </w:pPr>
      <w:r>
        <w:rPr>
          <w:rFonts w:hint="eastAsia" w:eastAsia="宋体" w:cs="Times New Roman"/>
          <w:i w:val="0"/>
          <w:iCs w:val="0"/>
          <w:color w:val="000000"/>
          <w:kern w:val="0"/>
          <w:sz w:val="20"/>
          <w:szCs w:val="20"/>
          <w:lang w:val="en-US" w:eastAsia="zh-CN" w:bidi="ar"/>
        </w:rPr>
        <w:t xml:space="preserve">It shall be noted that 3Tx band combination is applicable for only FWA UE in Rel-18, but the work can be extend to handheld UE due to almost all of the band combination specific RF requirements are applicable for both FWA UE and handheld UE. </w:t>
      </w:r>
    </w:p>
    <w:p>
      <w:pPr>
        <w:spacing w:before="120" w:beforeLines="50"/>
        <w:rPr>
          <w:rFonts w:hint="eastAsia" w:ascii="Times New Roman" w:hAnsi="Times New Roman" w:eastAsia="宋体" w:cs="Times New Roman"/>
          <w:sz w:val="20"/>
          <w:lang w:val="en-US" w:eastAsia="zh-CN"/>
        </w:rPr>
      </w:pPr>
      <w:r>
        <w:rPr>
          <w:rFonts w:hint="eastAsia" w:eastAsia="宋体"/>
          <w:sz w:val="20"/>
          <w:lang w:val="en-US" w:eastAsia="zh-CN"/>
        </w:rPr>
        <w:t xml:space="preserve">Regarding the generic framework of supporting </w:t>
      </w:r>
      <w:bookmarkStart w:id="5" w:name="OLE_LINK6"/>
      <w:bookmarkStart w:id="6" w:name="OLE_LINK4"/>
      <w:r>
        <w:rPr>
          <w:rFonts w:hint="eastAsia" w:eastAsia="宋体"/>
          <w:sz w:val="20"/>
          <w:lang w:val="en-US" w:eastAsia="zh-CN"/>
        </w:rPr>
        <w:t>increasing UE power high limit</w:t>
      </w:r>
      <w:bookmarkEnd w:id="5"/>
      <w:r>
        <w:rPr>
          <w:rFonts w:hint="eastAsia" w:eastAsia="宋体"/>
          <w:sz w:val="20"/>
          <w:lang w:val="en-US" w:eastAsia="zh-CN"/>
        </w:rPr>
        <w:t xml:space="preserve"> </w:t>
      </w:r>
      <w:bookmarkEnd w:id="6"/>
      <w:r>
        <w:rPr>
          <w:rFonts w:hint="eastAsia" w:eastAsia="宋体"/>
          <w:sz w:val="20"/>
          <w:lang w:val="en-US" w:eastAsia="zh-CN"/>
        </w:rPr>
        <w:t>for inter-band CA HPUE, only the scenario of</w:t>
      </w:r>
      <w:bookmarkStart w:id="7" w:name="OLE_LINK2"/>
      <w:r>
        <w:rPr>
          <w:rFonts w:hint="eastAsia" w:eastAsia="宋体"/>
          <w:sz w:val="20"/>
          <w:lang w:val="en-US" w:eastAsia="zh-CN"/>
        </w:rPr>
        <w:t xml:space="preserve"> PC2 band combination power class with PC2 and PC3 power configurations for the constitute band</w:t>
      </w:r>
      <w:bookmarkEnd w:id="7"/>
      <w:r>
        <w:rPr>
          <w:rFonts w:hint="eastAsia" w:eastAsia="宋体"/>
          <w:sz w:val="20"/>
          <w:lang w:val="en-US" w:eastAsia="zh-CN"/>
        </w:rPr>
        <w:t xml:space="preserve"> was included in Rel-17, and </w:t>
      </w:r>
      <w:bookmarkStart w:id="8" w:name="OLE_LINK3"/>
      <w:r>
        <w:rPr>
          <w:rFonts w:hint="eastAsia" w:eastAsia="宋体"/>
          <w:sz w:val="20"/>
          <w:lang w:val="en-US" w:eastAsia="zh-CN"/>
        </w:rPr>
        <w:t>each constitute band is single carrier</w:t>
      </w:r>
      <w:bookmarkEnd w:id="8"/>
      <w:r>
        <w:rPr>
          <w:rFonts w:hint="eastAsia" w:eastAsia="宋体"/>
          <w:sz w:val="20"/>
          <w:lang w:val="en-US" w:eastAsia="zh-CN"/>
        </w:rPr>
        <w:t>. In Rel-18, some additional scenarios are included, such as PC3 band combination power class with PC3 and PC5 power configurations for the constitute band, also intra-band UL CA can be supported in the constitute band. T</w:t>
      </w:r>
      <w:r>
        <w:rPr>
          <w:rFonts w:hint="eastAsia" w:ascii="Times New Roman" w:hAnsi="Times New Roman" w:eastAsia="宋体" w:cs="Times New Roman"/>
          <w:sz w:val="20"/>
          <w:lang w:val="en-US" w:eastAsia="zh-CN"/>
        </w:rPr>
        <w:t xml:space="preserve">he approach of increasing UE power high limit for the band combination in  Rel-17 is applied to Rel-18 work, which are: </w:t>
      </w:r>
    </w:p>
    <w:p>
      <w:pPr>
        <w:numPr>
          <w:ilvl w:val="0"/>
          <w:numId w:val="15"/>
        </w:numPr>
        <w:spacing w:before="0" w:beforeLines="-2147483648"/>
        <w:ind w:left="420" w:hanging="420"/>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For only 1 CC is supported in each UL band,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PowerClass,CA</w:t>
      </w:r>
      <w:r>
        <w:rPr>
          <w:rFonts w:hint="default" w:ascii="Times New Roman" w:hAnsi="Times New Roman" w:eastAsia="宋体" w:cs="Times New Roman"/>
          <w:color w:val="000000"/>
          <w:kern w:val="0"/>
          <w:sz w:val="20"/>
          <w:szCs w:val="20"/>
          <w:lang w:val="en-US" w:eastAsia="zh-CN" w:bidi="ar"/>
        </w:rPr>
        <w:t xml:space="preserve"> is replaced by 10 log10 ∑p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c</w:t>
      </w:r>
      <w:r>
        <w:rPr>
          <w:rFonts w:hint="eastAsia" w:eastAsia="宋体" w:cs="Times New Roman"/>
          <w:color w:val="000000"/>
          <w:kern w:val="0"/>
          <w:sz w:val="20"/>
          <w:szCs w:val="20"/>
          <w:lang w:val="en-US" w:eastAsia="zh-CN" w:bidi="ar"/>
        </w:rPr>
        <w:t xml:space="preserve">, where </w:t>
      </w:r>
      <w:r>
        <w:rPr>
          <w:rFonts w:hint="eastAsia" w:ascii="Times New Roman" w:hAnsi="Times New Roman" w:eastAsia="宋体" w:cs="Times New Roman"/>
          <w:sz w:val="20"/>
          <w:lang w:val="en-US" w:eastAsia="zh-CN"/>
        </w:rPr>
        <w:t>the p</w:t>
      </w:r>
      <w:r>
        <w:rPr>
          <w:rFonts w:hint="eastAsia" w:ascii="Times New Roman" w:hAnsi="Times New Roman" w:eastAsia="宋体" w:cs="Times New Roman"/>
          <w:sz w:val="20"/>
          <w:vertAlign w:val="subscript"/>
          <w:lang w:val="en-US" w:eastAsia="zh-CN"/>
        </w:rPr>
        <w:t>PowerClass,c</w:t>
      </w:r>
      <w:r>
        <w:rPr>
          <w:rFonts w:hint="eastAsia" w:ascii="Times New Roman" w:hAnsi="Times New Roman" w:eastAsia="宋体" w:cs="Times New Roman"/>
          <w:sz w:val="20"/>
          <w:lang w:val="en-US" w:eastAsia="zh-CN"/>
        </w:rPr>
        <w:t xml:space="preserve"> is the linear value of the maximum UE power for serving cell c according to the reported power class per band.</w:t>
      </w:r>
    </w:p>
    <w:p>
      <w:pPr>
        <w:keepNext w:val="0"/>
        <w:keepLines w:val="0"/>
        <w:widowControl/>
        <w:numPr>
          <w:ilvl w:val="0"/>
          <w:numId w:val="15"/>
        </w:numPr>
        <w:suppressLineNumbers w:val="0"/>
        <w:spacing w:before="120" w:beforeLines="50"/>
        <w:ind w:left="420" w:hanging="420"/>
        <w:jc w:val="left"/>
        <w:rPr>
          <w:sz w:val="20"/>
          <w:szCs w:val="20"/>
        </w:rPr>
      </w:pPr>
      <w:r>
        <w:rPr>
          <w:rFonts w:hint="eastAsia" w:ascii="Times New Roman" w:hAnsi="Times New Roman" w:eastAsia="宋体" w:cs="Times New Roman"/>
          <w:sz w:val="20"/>
          <w:szCs w:val="20"/>
          <w:lang w:val="en-US" w:eastAsia="zh-CN"/>
        </w:rPr>
        <w:t xml:space="preserve">For intra-band CA is supported in the UL band, </w:t>
      </w:r>
      <w:r>
        <w:rPr>
          <w:rFonts w:hint="default" w:ascii="Times New Roman" w:hAnsi="Times New Roman" w:eastAsia="宋体" w:cs="Times New Roman"/>
          <w:sz w:val="20"/>
          <w:szCs w:val="20"/>
          <w:lang w:val="en-US" w:eastAsia="zh-CN"/>
        </w:rPr>
        <w:t>P</w:t>
      </w:r>
      <w:r>
        <w:rPr>
          <w:rFonts w:hint="default" w:ascii="Times New Roman" w:hAnsi="Times New Roman" w:eastAsia="宋体" w:cs="Times New Roman"/>
          <w:sz w:val="20"/>
          <w:szCs w:val="20"/>
          <w:vertAlign w:val="subscript"/>
          <w:lang w:val="en-US" w:eastAsia="zh-CN"/>
        </w:rPr>
        <w:t>PowerClass,CA</w:t>
      </w:r>
      <w:r>
        <w:rPr>
          <w:rFonts w:hint="default" w:ascii="Times New Roman" w:hAnsi="Times New Roman" w:eastAsia="宋体" w:cs="Times New Roman"/>
          <w:sz w:val="20"/>
          <w:szCs w:val="20"/>
          <w:lang w:val="en-US" w:eastAsia="zh-CN"/>
        </w:rPr>
        <w:t xml:space="preserve"> is replaced by 10 log10 (p</w:t>
      </w:r>
      <w:r>
        <w:rPr>
          <w:rFonts w:hint="default" w:ascii="Times New Roman" w:hAnsi="Times New Roman" w:eastAsia="宋体" w:cs="Times New Roman"/>
          <w:sz w:val="20"/>
          <w:szCs w:val="20"/>
          <w:vertAlign w:val="subscript"/>
          <w:lang w:val="en-US" w:eastAsia="zh-CN"/>
        </w:rPr>
        <w:t>PowerClass,A</w:t>
      </w:r>
      <w:r>
        <w:rPr>
          <w:rFonts w:hint="default" w:ascii="Times New Roman" w:hAnsi="Times New Roman" w:eastAsia="宋体" w:cs="Times New Roman"/>
          <w:sz w:val="20"/>
          <w:szCs w:val="20"/>
          <w:lang w:val="en-US" w:eastAsia="zh-CN"/>
        </w:rPr>
        <w:t xml:space="preserve"> + p</w:t>
      </w:r>
      <w:r>
        <w:rPr>
          <w:rFonts w:hint="default" w:ascii="Times New Roman" w:hAnsi="Times New Roman" w:eastAsia="宋体" w:cs="Times New Roman"/>
          <w:sz w:val="20"/>
          <w:szCs w:val="20"/>
          <w:vertAlign w:val="subscript"/>
          <w:lang w:val="en-US" w:eastAsia="zh-CN"/>
        </w:rPr>
        <w:t>PowerClass,CA,B</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where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PowerClass,A</w:t>
      </w:r>
      <w:r>
        <w:rPr>
          <w:rFonts w:hint="default" w:ascii="Times New Roman" w:hAnsi="Times New Roman" w:eastAsia="宋体" w:cs="Times New Roman"/>
          <w:color w:val="000000"/>
          <w:kern w:val="0"/>
          <w:sz w:val="20"/>
          <w:szCs w:val="20"/>
          <w:lang w:val="en-US" w:eastAsia="zh-CN" w:bidi="ar"/>
        </w:rPr>
        <w:t xml:space="preserve"> is the linear value of the maximum UE power for serving cell </w:t>
      </w:r>
      <w:r>
        <w:rPr>
          <w:rFonts w:hint="default" w:ascii="Times New Roman" w:hAnsi="Times New Roman" w:eastAsia="宋体" w:cs="Times New Roman"/>
          <w:i/>
          <w:iCs/>
          <w:color w:val="000000"/>
          <w:kern w:val="0"/>
          <w:sz w:val="20"/>
          <w:szCs w:val="20"/>
          <w:lang w:val="en-US" w:eastAsia="zh-CN" w:bidi="ar"/>
        </w:rPr>
        <w:t>c</w:t>
      </w:r>
      <w:r>
        <w:rPr>
          <w:rFonts w:hint="eastAsia" w:eastAsia="宋体" w:cs="Times New Roman"/>
          <w:i/>
          <w:iCs/>
          <w:color w:val="000000"/>
          <w:kern w:val="0"/>
          <w:sz w:val="20"/>
          <w:szCs w:val="20"/>
          <w:lang w:val="en-US" w:eastAsia="zh-CN" w:bidi="ar"/>
        </w:rPr>
        <w:t xml:space="preserve"> </w:t>
      </w:r>
      <w:r>
        <w:rPr>
          <w:rFonts w:hint="eastAsia" w:ascii="Times New Roman" w:hAnsi="Times New Roman" w:eastAsia="宋体" w:cs="Times New Roman"/>
          <w:sz w:val="20"/>
          <w:szCs w:val="20"/>
          <w:lang w:val="en-US" w:eastAsia="zh-CN"/>
        </w:rPr>
        <w:t xml:space="preserve">according to the </w:t>
      </w:r>
      <w:r>
        <w:rPr>
          <w:rFonts w:hint="eastAsia" w:ascii="Times New Roman" w:hAnsi="Times New Roman" w:eastAsia="宋体" w:cs="Times New Roman"/>
          <w:sz w:val="20"/>
          <w:lang w:val="en-US" w:eastAsia="zh-CN"/>
        </w:rPr>
        <w:t xml:space="preserve">reported </w:t>
      </w:r>
      <w:r>
        <w:rPr>
          <w:rFonts w:hint="eastAsia" w:ascii="Times New Roman" w:hAnsi="Times New Roman" w:eastAsia="宋体" w:cs="Times New Roman"/>
          <w:sz w:val="20"/>
          <w:szCs w:val="20"/>
          <w:lang w:val="en-US" w:eastAsia="zh-CN"/>
        </w:rPr>
        <w:t xml:space="preserve">power class per band and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PowerClass,CA</w:t>
      </w:r>
      <w:r>
        <w:rPr>
          <w:rFonts w:hint="eastAsia" w:eastAsia="宋体" w:cs="Times New Roman"/>
          <w:color w:val="000000"/>
          <w:kern w:val="0"/>
          <w:sz w:val="20"/>
          <w:szCs w:val="20"/>
          <w:vertAlign w:val="subscript"/>
          <w:lang w:val="en-US" w:eastAsia="zh-CN" w:bidi="ar"/>
        </w:rPr>
        <w:t>,B</w:t>
      </w:r>
      <w:r>
        <w:rPr>
          <w:rFonts w:hint="eastAsia" w:eastAsia="宋体" w:cs="Times New Roman"/>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 xml:space="preserve"> is the linear value of the maximum UE power for serving cell(s) on the operating band B</w:t>
      </w:r>
      <w:r>
        <w:rPr>
          <w:rFonts w:hint="eastAsia" w:eastAsia="宋体" w:cs="Times New Roman"/>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 xml:space="preserve">including intra-band carrier aggregation </w:t>
      </w:r>
    </w:p>
    <w:p>
      <w:pPr>
        <w:keepNext w:val="0"/>
        <w:keepLines w:val="0"/>
        <w:widowControl/>
        <w:suppressLineNumbers w:val="0"/>
        <w:jc w:val="left"/>
        <w:rPr>
          <w:rFonts w:hint="default" w:eastAsia="宋体"/>
          <w:sz w:val="20"/>
          <w:lang w:val="en-US" w:eastAsia="zh-CN"/>
        </w:rPr>
      </w:pPr>
      <w:r>
        <w:rPr>
          <w:rFonts w:hint="eastAsia" w:ascii="Times New Roman" w:hAnsi="Times New Roman" w:eastAsia="宋体" w:cs="Times New Roman"/>
          <w:sz w:val="20"/>
          <w:lang w:val="en-US" w:eastAsia="zh-CN"/>
        </w:rPr>
        <w:t>In other words, the summed power is the power of each band according to the reported power class per band</w:t>
      </w:r>
    </w:p>
    <w:p>
      <w:pPr>
        <w:keepNext w:val="0"/>
        <w:keepLines w:val="0"/>
        <w:widowControl/>
        <w:suppressLineNumbers w:val="0"/>
        <w:jc w:val="left"/>
        <w:rPr>
          <w:rFonts w:eastAsia="宋体"/>
          <w:sz w:val="20"/>
          <w:lang w:val="en-US" w:eastAsia="zh-CN"/>
        </w:rPr>
      </w:pPr>
      <w:r>
        <w:rPr>
          <w:rFonts w:hint="eastAsia" w:eastAsia="宋体"/>
          <w:sz w:val="20"/>
          <w:lang w:val="en-US" w:eastAsia="zh-CN"/>
        </w:rPr>
        <w:t>It should be noted the work for increasing UE power high limit in both Rel-17 and Rel-18 are still only focus on 2Tx inter-band band combination, and t</w:t>
      </w:r>
      <w:r>
        <w:rPr>
          <w:rFonts w:hint="eastAsia" w:ascii="Times New Roman" w:hAnsi="Times New Roman" w:eastAsia="宋体" w:cs="Times New Roman"/>
          <w:sz w:val="20"/>
          <w:lang w:val="en-US" w:eastAsia="zh-CN"/>
        </w:rPr>
        <w:t>here are two PAs in total where one PA for each band. For 3Tx inter-band band combination, there are three PAs in total due to UL MIMO/TxD PC1.5 TDD band is included, and 2PAs are supported in this PC1.5 band. In this case, we think the current Rel-17/Rel-18 approaches can still be applied since PC1.5 TDD band shall be implemented via 2Tx/2PA with 26dBm in each (i.e. in the UL MIMO/TxD mode), the power for the two PAs is 29dBm, which equals to the power class of the PC1.5 band. Then if the UE</w:t>
      </w:r>
      <w:r>
        <w:rPr>
          <w:rFonts w:hint="eastAsia" w:ascii="Times New Roman" w:hAnsi="Times New Roman" w:eastAsia="宋体" w:cs="Times New Roman"/>
          <w:color w:val="auto"/>
          <w:kern w:val="0"/>
          <w:sz w:val="20"/>
          <w:szCs w:val="20"/>
          <w:lang w:val="en-US" w:eastAsia="zh-CN" w:bidi="ar"/>
        </w:rPr>
        <w:t xml:space="preserve"> indicates </w:t>
      </w:r>
      <w:r>
        <w:rPr>
          <w:rFonts w:hint="eastAsia" w:ascii="Times New Roman" w:hAnsi="Times New Roman" w:eastAsia="宋体" w:cs="Times New Roman"/>
          <w:i/>
          <w:iCs/>
          <w:color w:val="auto"/>
          <w:kern w:val="0"/>
          <w:sz w:val="20"/>
          <w:szCs w:val="20"/>
          <w:lang w:val="en-US" w:eastAsia="zh-CN" w:bidi="ar"/>
        </w:rPr>
        <w:t>higherPowerLimit-r17</w:t>
      </w:r>
      <w:r>
        <w:rPr>
          <w:rFonts w:hint="eastAsia" w:ascii="Times New Roman" w:hAnsi="Times New Roman" w:eastAsia="宋体" w:cs="Times New Roman"/>
          <w:i w:val="0"/>
          <w:iCs w:val="0"/>
          <w:kern w:val="0"/>
          <w:sz w:val="20"/>
          <w:szCs w:val="20"/>
          <w:lang w:val="en-US" w:eastAsia="zh-CN" w:bidi="ar"/>
        </w:rPr>
        <w:t xml:space="preserve">, the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PowerClass,CA</w:t>
      </w:r>
      <w:r>
        <w:rPr>
          <w:rFonts w:hint="default" w:ascii="Times New Roman" w:hAnsi="Times New Roman" w:eastAsia="宋体" w:cs="Times New Roman"/>
          <w:color w:val="000000"/>
          <w:kern w:val="0"/>
          <w:sz w:val="20"/>
          <w:szCs w:val="20"/>
          <w:lang w:val="en-US" w:eastAsia="zh-CN" w:bidi="ar"/>
        </w:rPr>
        <w:t xml:space="preserve"> is replaced by 10 log10 ∑p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c</w:t>
      </w:r>
      <w:r>
        <w:rPr>
          <w:rFonts w:hint="eastAsia" w:ascii="Times New Roman" w:hAnsi="Times New Roman" w:eastAsia="宋体" w:cs="Times New Roman"/>
          <w:i w:val="0"/>
          <w:iCs w:val="0"/>
          <w:kern w:val="0"/>
          <w:sz w:val="20"/>
          <w:szCs w:val="20"/>
          <w:lang w:val="en-US" w:eastAsia="zh-CN" w:bidi="ar"/>
        </w:rPr>
        <w:t xml:space="preserve"> , which is 23+29dBm ~=30dBm. From this perspective, we think there is no need a study phase fro 3Tx band combination.</w:t>
      </w:r>
    </w:p>
    <w:p>
      <w:pPr>
        <w:spacing w:before="120" w:beforeLines="50"/>
        <w:rPr>
          <w:rFonts w:hint="default"/>
          <w:lang w:val="en-US" w:eastAsia="zh-CN"/>
        </w:rPr>
      </w:pPr>
      <w:r>
        <w:rPr>
          <w:rFonts w:hint="eastAsia" w:eastAsia="宋体"/>
          <w:sz w:val="20"/>
          <w:lang w:val="en-US" w:eastAsia="zh-CN"/>
        </w:rPr>
        <w:t xml:space="preserve">Based on the above considerations, we proposed to update the objective as following: </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High power UE (HPUE) for CA (non-spectrum item for the combinations which need generic requirements)</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PC1.5 UE for intra-band contiguous CA with or without UL MIMO with 2Tx</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PC1.5/PC2 UE for two band inter-band CA with 2Tx and/or 3Tx for handheld and FWA</w:t>
      </w:r>
    </w:p>
    <w:p>
      <w:pPr>
        <w:spacing w:before="120" w:beforeLines="50"/>
        <w:rPr>
          <w:rFonts w:hint="eastAsia" w:eastAsia="宋体"/>
          <w:sz w:val="20"/>
          <w:lang w:val="en-US" w:eastAsia="zh-CN"/>
        </w:rPr>
      </w:pPr>
      <w:r>
        <w:rPr>
          <w:rFonts w:hint="eastAsia" w:eastAsia="宋体"/>
          <w:sz w:val="20"/>
          <w:lang w:val="en-US" w:eastAsia="zh-CN"/>
        </w:rPr>
        <w:t>Generic framework of support increasing UE power high limit for inter-band CA HPUE (only for TN) for different power classes</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ind w:left="440" w:leftChars="200" w:firstLine="0" w:firstLineChars="0"/>
        <w:textAlignment w:val="auto"/>
        <w:rPr>
          <w:rFonts w:hint="eastAsia" w:eastAsia="宋体"/>
          <w:sz w:val="20"/>
          <w:highlight w:val="yellow"/>
          <w:lang w:val="en-US" w:eastAsia="zh-CN"/>
        </w:rPr>
      </w:pPr>
    </w:p>
    <w:p>
      <w:pPr>
        <w:numPr>
          <w:ilvl w:val="0"/>
          <w:numId w:val="13"/>
        </w:numPr>
        <w:spacing w:before="120" w:beforeLines="50"/>
        <w:ind w:left="420" w:leftChars="0" w:hanging="420" w:firstLineChars="0"/>
        <w:rPr>
          <w:rFonts w:hint="eastAsia" w:eastAsia="宋体"/>
          <w:strike/>
          <w:sz w:val="20"/>
          <w:lang w:val="en-US" w:eastAsia="zh-CN"/>
        </w:rPr>
      </w:pPr>
      <w:r>
        <w:rPr>
          <w:rFonts w:hint="eastAsia" w:eastAsia="宋体"/>
          <w:strike/>
          <w:sz w:val="20"/>
          <w:lang w:val="en-US" w:eastAsia="zh-CN"/>
        </w:rPr>
        <w:t>Further discussion on other type of HPUE CA band combinations.</w:t>
      </w:r>
    </w:p>
    <w:p>
      <w:pPr>
        <w:numPr>
          <w:ilvl w:val="0"/>
          <w:numId w:val="13"/>
        </w:numPr>
        <w:spacing w:before="120" w:beforeLines="50"/>
        <w:ind w:left="420" w:leftChars="0" w:hanging="420" w:firstLineChars="0"/>
        <w:rPr>
          <w:rFonts w:hint="eastAsia" w:eastAsia="宋体"/>
          <w:strike/>
          <w:sz w:val="20"/>
          <w:lang w:val="en-US" w:eastAsia="zh-CN"/>
        </w:rPr>
      </w:pPr>
      <w:r>
        <w:rPr>
          <w:rFonts w:hint="eastAsia" w:eastAsia="宋体"/>
          <w:strike/>
          <w:sz w:val="20"/>
          <w:lang w:val="en-US" w:eastAsia="zh-CN"/>
        </w:rPr>
        <w:t>Further discussion on whether to introduction of HPUE for EN-DC</w:t>
      </w:r>
    </w:p>
    <w:p>
      <w:pPr>
        <w:numPr>
          <w:ilvl w:val="0"/>
          <w:numId w:val="13"/>
        </w:numPr>
        <w:spacing w:before="120" w:beforeLines="50"/>
        <w:ind w:left="420" w:leftChars="0" w:hanging="420" w:firstLineChars="0"/>
        <w:rPr>
          <w:rFonts w:hint="eastAsia" w:eastAsia="宋体"/>
          <w:strike/>
          <w:sz w:val="20"/>
          <w:lang w:val="en-US" w:eastAsia="zh-CN"/>
        </w:rPr>
      </w:pPr>
      <w:r>
        <w:rPr>
          <w:rFonts w:hint="eastAsia" w:eastAsia="宋体"/>
          <w:strike/>
          <w:sz w:val="20"/>
          <w:lang w:val="en-US" w:eastAsia="zh-CN"/>
        </w:rPr>
        <w:t>Further discussion on whether to introduce PC1.5 for intra-band non-contiguous</w:t>
      </w:r>
    </w:p>
    <w:p>
      <w:pPr>
        <w:spacing w:before="120" w:beforeLines="50"/>
        <w:rPr>
          <w:rFonts w:eastAsia="宋体"/>
          <w:sz w:val="20"/>
          <w:lang w:val="en-US" w:eastAsia="zh-CN"/>
        </w:rPr>
      </w:pPr>
    </w:p>
    <w:p>
      <w:pPr>
        <w:keepNext w:val="0"/>
        <w:keepLines w:val="0"/>
        <w:pageBreakBefore w:val="0"/>
        <w:widowControl/>
        <w:kinsoku/>
        <w:wordWrap/>
        <w:overflowPunct/>
        <w:topLinePunct w:val="0"/>
        <w:autoSpaceDE/>
        <w:autoSpaceDN/>
        <w:bidi w:val="0"/>
        <w:adjustRightInd/>
        <w:snapToGrid/>
        <w:spacing w:before="120" w:beforeLines="50"/>
        <w:textAlignment w:val="auto"/>
        <w:outlineLvl w:val="1"/>
        <w:rPr>
          <w:rFonts w:hint="default" w:eastAsia="宋体"/>
          <w:sz w:val="20"/>
          <w:lang w:val="en-US" w:eastAsia="zh-CN"/>
        </w:rPr>
      </w:pPr>
      <w:r>
        <w:rPr>
          <w:rFonts w:hint="eastAsia" w:eastAsia="宋体"/>
          <w:sz w:val="20"/>
          <w:lang w:val="en-US" w:eastAsia="zh-CN"/>
        </w:rPr>
        <w:t>2.2. MPR reduction</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(Ensure reasonable load) Power boosting or MPR reduction for PC2/PC3 with ACLR relaxation with BS indication (Study on whether and how much the requirement can be relaxed first and how often the power boosting can be done, and at least lower modulation order need be studied and FFS on higher modulation order) for FR1 and FR2</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A study phase is necessary</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Is there a need to consider RedCap?</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MPR reduction for UL contiguous CA in FR1/FR2</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How about a single active UL carrier case when CA is configured?</w:t>
      </w:r>
    </w:p>
    <w:p>
      <w:pPr>
        <w:spacing w:before="120" w:beforeLines="50"/>
        <w:rPr>
          <w:rFonts w:hint="eastAsia" w:eastAsia="宋体"/>
          <w:sz w:val="20"/>
          <w:lang w:val="en-US" w:eastAsia="zh-CN"/>
        </w:rPr>
      </w:pPr>
      <w:r>
        <w:rPr>
          <w:rFonts w:hint="eastAsia" w:eastAsia="宋体"/>
          <w:sz w:val="20"/>
          <w:lang w:val="en-US" w:eastAsia="zh-CN"/>
        </w:rPr>
        <w:t xml:space="preserve">Regarding the power boosting or MPR reduction based on the relaxed ACLR requirements for lowest modulation orders,  since MRP reduction is highly related with ACLR relaxation, however how much relaxation is allowed for ACLR is still up to further system level coexistence study evaluations, then based on the relaxed ACLR requirement, further MPR reduction could be evaluated within the interested companies.  </w:t>
      </w:r>
    </w:p>
    <w:p>
      <w:pPr>
        <w:spacing w:before="120" w:beforeLines="50"/>
        <w:rPr>
          <w:rFonts w:hint="default" w:eastAsia="宋体"/>
          <w:sz w:val="20"/>
          <w:lang w:val="en-US" w:eastAsia="zh-CN"/>
        </w:rPr>
      </w:pPr>
      <w:r>
        <w:rPr>
          <w:rFonts w:hint="eastAsia" w:eastAsia="宋体"/>
          <w:sz w:val="20"/>
          <w:lang w:val="en-US" w:eastAsia="zh-CN"/>
        </w:rPr>
        <w:t>In addition, based on the motivation clarified so far, we think that the ACLR relaxation outside BS/ BS aggregated channel bandwidth or towards different operators are not allowed since this ACLR assumptions should be used as generic assumption in the past and also used as basis for other regulatory body for sharing and compatibility study (e.g. ITU-R WP5D etc).</w:t>
      </w:r>
    </w:p>
    <w:p>
      <w:pPr>
        <w:spacing w:before="120" w:beforeLines="50"/>
        <w:rPr>
          <w:rFonts w:hint="default" w:eastAsia="宋体"/>
          <w:sz w:val="20"/>
          <w:lang w:val="en-US" w:eastAsia="zh-CN"/>
        </w:rPr>
      </w:pPr>
      <w:r>
        <w:rPr>
          <w:rFonts w:hint="eastAsia" w:eastAsia="宋体"/>
          <w:sz w:val="20"/>
          <w:lang w:val="en-US" w:eastAsia="zh-CN"/>
        </w:rPr>
        <w:t xml:space="preserve">Regarding the modulation orders, from our understanding,  up to 16QAM in FR1, MPR requirements are still mainly limited by ACLR for outer RB allocations, if the modulation is 64QAM or 256QAM in FR1, then MPR requirements would be mainly dominated by the EVM requirements for both outer RB and inner RB allocations, therefore we propose to focus on modulation orders up to 16QAM.  </w:t>
      </w:r>
    </w:p>
    <w:p>
      <w:pPr>
        <w:spacing w:before="120" w:beforeLines="50"/>
        <w:rPr>
          <w:rFonts w:hint="eastAsia" w:eastAsia="宋体"/>
          <w:sz w:val="20"/>
          <w:lang w:val="en-US" w:eastAsia="zh-CN"/>
        </w:rPr>
      </w:pPr>
      <w:r>
        <w:rPr>
          <w:rFonts w:hint="eastAsia" w:eastAsia="宋体"/>
          <w:sz w:val="20"/>
          <w:lang w:val="en-US" w:eastAsia="zh-CN"/>
        </w:rPr>
        <w:t xml:space="preserve">For MPR reduction for UL contiguous CA in FR1 and FR2, the motivation for the relaxation of MPR reduction are slightly different from our understanding.  For FR1 UL intra-contiguous CA, the MPR requirement is still based on the aggregated CA channel bandwidth, however this should be more reasonable to related with activated Pcell or Pcell and Scell instead of Pcell and Scell configuration. </w:t>
      </w:r>
    </w:p>
    <w:p>
      <w:pPr>
        <w:spacing w:before="120" w:beforeLines="50"/>
        <w:rPr>
          <w:rFonts w:hint="default" w:eastAsia="宋体"/>
          <w:sz w:val="20"/>
          <w:lang w:val="en-US" w:eastAsia="zh-CN"/>
        </w:rPr>
      </w:pPr>
      <w:r>
        <w:rPr>
          <w:rFonts w:hint="eastAsia" w:eastAsia="宋体"/>
          <w:sz w:val="20"/>
          <w:lang w:val="en-US" w:eastAsia="zh-CN"/>
        </w:rPr>
        <w:t xml:space="preserve">For MPR requirements for FR2 intraband ULCA or single carrier, based on the FR2 RF architecture assumptions in the previous release, the MPR requirement are still dependent on the DL aggregated channel bandwidth due to some sharing RF component between DL and UL transceivers, however based on the technique evolution and other implementation choices, it might be possible to specify the FR2 intra-band UL CA or single carrier MPR requirement based on the UL activated carriers.   </w:t>
      </w:r>
    </w:p>
    <w:p>
      <w:pPr>
        <w:spacing w:before="120" w:beforeLines="50"/>
        <w:rPr>
          <w:rFonts w:hint="default" w:eastAsia="宋体"/>
          <w:sz w:val="20"/>
          <w:lang w:val="en-US" w:eastAsia="zh-CN"/>
        </w:rPr>
      </w:pPr>
      <w:r>
        <w:rPr>
          <w:rFonts w:hint="eastAsia" w:eastAsia="宋体"/>
          <w:sz w:val="20"/>
          <w:lang w:val="en-US" w:eastAsia="zh-CN"/>
        </w:rPr>
        <w:t xml:space="preserve">Based on the above considerations, we proposed to update the objective as following: </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Study and specify if necessary Power boosting or MPR reduction for PC2/PC3 with ACLR relaxation with BS indication (Study on whether and how much the requirement can be relaxed first and how often the power boosting can be done, and up to 16QAM need be studied for FR1 and FR2</w:t>
      </w:r>
    </w:p>
    <w:p>
      <w:pPr>
        <w:numPr>
          <w:ilvl w:val="0"/>
          <w:numId w:val="14"/>
        </w:numPr>
        <w:spacing w:before="120" w:beforeLines="50"/>
        <w:ind w:left="860" w:leftChars="200" w:hanging="420" w:firstLineChars="0"/>
        <w:rPr>
          <w:rFonts w:hint="eastAsia" w:eastAsia="宋体"/>
          <w:sz w:val="20"/>
          <w:lang w:val="en-US" w:eastAsia="zh-CN"/>
        </w:rPr>
      </w:pPr>
      <w:r>
        <w:rPr>
          <w:rFonts w:hint="eastAsia" w:eastAsia="宋体"/>
          <w:sz w:val="20"/>
          <w:lang w:val="en-US" w:eastAsia="zh-CN"/>
        </w:rPr>
        <w:t>ACLR relaxation outside of BS channel bandwidth or aggregated channel bandwidth or towards different operator are not allowed in this release.</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MPR reduction for UL contiguous CA in FR1/FR2</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 xml:space="preserve">For FR1, the MPR requirement is decided by the UL activated carrier bandwidth; </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 xml:space="preserve">For FR2, the MPR requirement is decided by the UL activated carrier bandwidth not related with DL aggregated channel bandwidth. </w:t>
      </w:r>
    </w:p>
    <w:p>
      <w:pPr>
        <w:spacing w:before="120" w:beforeLines="50"/>
        <w:rPr>
          <w:rFonts w:eastAsia="宋体"/>
          <w:sz w:val="20"/>
          <w:lang w:val="en-US" w:eastAsia="zh-CN"/>
        </w:rPr>
      </w:pPr>
    </w:p>
    <w:p>
      <w:pPr>
        <w:keepNext w:val="0"/>
        <w:keepLines w:val="0"/>
        <w:pageBreakBefore w:val="0"/>
        <w:widowControl/>
        <w:kinsoku/>
        <w:wordWrap/>
        <w:overflowPunct/>
        <w:topLinePunct w:val="0"/>
        <w:autoSpaceDE/>
        <w:autoSpaceDN/>
        <w:bidi w:val="0"/>
        <w:adjustRightInd/>
        <w:snapToGrid/>
        <w:spacing w:before="120" w:beforeLines="50"/>
        <w:textAlignment w:val="auto"/>
        <w:outlineLvl w:val="1"/>
        <w:rPr>
          <w:rFonts w:hint="default" w:eastAsia="宋体"/>
          <w:sz w:val="20"/>
          <w:lang w:val="en-US" w:eastAsia="zh-CN"/>
        </w:rPr>
      </w:pPr>
      <w:r>
        <w:rPr>
          <w:rFonts w:hint="eastAsia" w:eastAsia="宋体"/>
          <w:sz w:val="20"/>
          <w:lang w:val="en-US" w:eastAsia="zh-CN"/>
        </w:rPr>
        <w:t>2.3. 6Rx</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Investigate and enable 6Rx on higher frequency bands (&gt;2.5GHz ) targeting at support of smartphone and FWA</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Specify the requirements to support SRS antenna switching</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FFS on the MIMO layer to be supported.</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Further discussions on the following potential objective:</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Improved SRS reporting for antenna switching usage</w:t>
      </w:r>
    </w:p>
    <w:p>
      <w:pPr>
        <w:spacing w:before="120" w:beforeLines="50"/>
        <w:rPr>
          <w:rFonts w:hint="eastAsia" w:eastAsia="宋体"/>
          <w:sz w:val="20"/>
          <w:lang w:val="en-US" w:eastAsia="zh-CN"/>
        </w:rPr>
      </w:pPr>
      <w:r>
        <w:rPr>
          <w:rFonts w:hint="eastAsia" w:eastAsia="宋体"/>
          <w:sz w:val="20"/>
          <w:lang w:val="en-US" w:eastAsia="zh-CN"/>
        </w:rPr>
        <w:t xml:space="preserve">Based on the latest summary [1], DL MIMO layers for UE Rx is still FFS, from our understanding,  both 4/6 DL MIMO layers could be supported for 6Rx. In addition, regarding the improved SRS reporting for antenna switching, this is well discussed in the previous release from RAN1 MIMO topics to RAN4 SRS antenna port related switching, the insertion loss for some SRS port transmission was observed,  this will have direct impacts on the UL SRS estimation. </w:t>
      </w:r>
    </w:p>
    <w:p>
      <w:pPr>
        <w:spacing w:before="120" w:beforeLines="50"/>
        <w:rPr>
          <w:rFonts w:hint="eastAsia" w:eastAsia="宋体"/>
          <w:sz w:val="20"/>
          <w:lang w:val="en-US" w:eastAsia="zh-CN"/>
        </w:rPr>
      </w:pPr>
      <w:r>
        <w:rPr>
          <w:rFonts w:hint="eastAsia" w:eastAsia="宋体"/>
          <w:sz w:val="20"/>
          <w:lang w:val="en-US" w:eastAsia="zh-CN"/>
        </w:rPr>
        <w:t xml:space="preserve">Based on the above considerations, we proposed to update the objective as following: </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Investigate and enable 6Rx on higher frequency bands (&gt;2.5GHz ) targeting at support of smartphone and FWA</w:t>
      </w:r>
    </w:p>
    <w:p>
      <w:pPr>
        <w:numPr>
          <w:ilvl w:val="1"/>
          <w:numId w:val="13"/>
        </w:numPr>
        <w:spacing w:before="120" w:beforeLines="50"/>
        <w:ind w:left="840" w:leftChars="0" w:hanging="420" w:firstLineChars="0"/>
        <w:rPr>
          <w:rFonts w:hint="eastAsia" w:eastAsia="宋体"/>
          <w:sz w:val="20"/>
          <w:lang w:val="en-US" w:eastAsia="zh-CN"/>
        </w:rPr>
      </w:pPr>
      <w:r>
        <w:rPr>
          <w:rFonts w:hint="eastAsia" w:eastAsia="宋体"/>
          <w:sz w:val="20"/>
          <w:lang w:val="en-US" w:eastAsia="zh-CN"/>
        </w:rPr>
        <w:t>Example bands: n41, n77/n78, n79</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Specify the requirements to support SRS antenna switching</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 xml:space="preserve"> 4/6 DL MIMO layer to be supported.</w:t>
      </w:r>
    </w:p>
    <w:p>
      <w:pPr>
        <w:keepNext w:val="0"/>
        <w:keepLines w:val="0"/>
        <w:pageBreakBefore w:val="0"/>
        <w:widowControl/>
        <w:numPr>
          <w:ilvl w:val="0"/>
          <w:numId w:val="13"/>
        </w:numPr>
        <w:kinsoku/>
        <w:wordWrap/>
        <w:overflowPunct/>
        <w:topLinePunct w:val="0"/>
        <w:autoSpaceDE/>
        <w:autoSpaceDN/>
        <w:bidi w:val="0"/>
        <w:adjustRightInd/>
        <w:snapToGrid/>
        <w:spacing w:before="120" w:beforeLines="50"/>
        <w:ind w:left="420" w:leftChars="0" w:hanging="420" w:firstLineChars="0"/>
        <w:textAlignment w:val="auto"/>
        <w:rPr>
          <w:rFonts w:hint="eastAsia" w:eastAsia="宋体"/>
          <w:sz w:val="20"/>
          <w:lang w:val="en-US" w:eastAsia="zh-CN"/>
        </w:rPr>
      </w:pPr>
      <w:r>
        <w:rPr>
          <w:rFonts w:hint="eastAsia" w:eastAsia="宋体"/>
          <w:sz w:val="20"/>
          <w:lang w:val="en-US" w:eastAsia="zh-CN"/>
        </w:rPr>
        <w:t>Improved SRS reporting for antenna switching usage</w:t>
      </w:r>
    </w:p>
    <w:p>
      <w:pPr>
        <w:spacing w:before="120" w:beforeLines="50"/>
        <w:rPr>
          <w:rFonts w:hint="default" w:eastAsia="宋体"/>
          <w:sz w:val="20"/>
          <w:lang w:val="en-US"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3</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Conclusions</w:t>
      </w:r>
    </w:p>
    <w:p>
      <w:pPr>
        <w:spacing w:after="120"/>
        <w:rPr>
          <w:rFonts w:hint="eastAsia" w:eastAsia="宋体"/>
          <w:sz w:val="20"/>
          <w:lang w:val="en-US" w:eastAsia="zh-CN"/>
        </w:rPr>
      </w:pPr>
      <w:r>
        <w:rPr>
          <w:rFonts w:hint="eastAsia" w:eastAsia="宋体"/>
          <w:sz w:val="20"/>
          <w:lang w:val="en-US" w:eastAsia="zh-CN"/>
        </w:rPr>
        <w:t>I</w:t>
      </w:r>
      <w:r>
        <w:rPr>
          <w:rFonts w:eastAsia="宋体"/>
          <w:sz w:val="20"/>
          <w:lang w:val="en-US" w:eastAsia="zh-CN"/>
        </w:rPr>
        <w:t xml:space="preserve">n this </w:t>
      </w:r>
      <w:r>
        <w:rPr>
          <w:rFonts w:hint="eastAsia" w:eastAsia="宋体"/>
          <w:sz w:val="20"/>
          <w:lang w:val="en-US" w:eastAsia="zh-CN"/>
        </w:rPr>
        <w:t>contribution, we share some further consideration on Rel-19 UE RF  enhancement based on the RAN/RAN4 leadership</w:t>
      </w:r>
      <w:r>
        <w:rPr>
          <w:rFonts w:hint="default" w:eastAsia="宋体"/>
          <w:sz w:val="20"/>
          <w:lang w:val="en-US" w:eastAsia="zh-CN"/>
        </w:rPr>
        <w:t>’</w:t>
      </w:r>
      <w:r>
        <w:rPr>
          <w:rFonts w:hint="eastAsia" w:eastAsia="宋体"/>
          <w:sz w:val="20"/>
          <w:lang w:val="en-US" w:eastAsia="zh-CN"/>
        </w:rPr>
        <w:t>s proposal and proposed objectives are listed as following:</w:t>
      </w:r>
    </w:p>
    <w:p>
      <w:pPr>
        <w:spacing w:after="120"/>
        <w:rPr>
          <w:rFonts w:hint="eastAsia" w:eastAsia="宋体"/>
          <w:sz w:val="20"/>
          <w:lang w:val="en-US" w:eastAsia="zh-CN"/>
        </w:rPr>
      </w:pPr>
      <w:r>
        <w:rPr>
          <w:rFonts w:hint="eastAsia" w:eastAsia="宋体"/>
          <w:sz w:val="20"/>
          <w:lang w:val="en-US" w:eastAsia="zh-CN"/>
        </w:rPr>
        <w:t>HPUE:</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High power UE (HPUE) for CA (non-spectrum item for the combinations which need generic requirements)</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PC1.5 UE for intra-band contiguous CA with or without UL MIMO with 2Tx</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PC1.5/PC2 UE for two band inter-band CA with 2Tx and/or 3Tx for handheld and FWA</w:t>
      </w:r>
    </w:p>
    <w:p>
      <w:pPr>
        <w:spacing w:before="120" w:beforeLines="50"/>
        <w:rPr>
          <w:rFonts w:hint="eastAsia" w:eastAsia="宋体"/>
          <w:sz w:val="20"/>
          <w:lang w:val="en-US" w:eastAsia="zh-CN"/>
        </w:rPr>
      </w:pPr>
      <w:r>
        <w:rPr>
          <w:rFonts w:hint="eastAsia" w:eastAsia="宋体"/>
          <w:sz w:val="20"/>
          <w:lang w:val="en-US" w:eastAsia="zh-CN"/>
        </w:rPr>
        <w:t>Generic framework of support increasing UE power high limit for inter-band CA HPUE (only for TN) for different power classes</w:t>
      </w:r>
    </w:p>
    <w:p>
      <w:pPr>
        <w:spacing w:after="120"/>
        <w:rPr>
          <w:rFonts w:hint="default" w:eastAsia="宋体"/>
          <w:sz w:val="20"/>
          <w:lang w:val="en-US" w:eastAsia="zh-CN"/>
        </w:rPr>
      </w:pPr>
    </w:p>
    <w:p>
      <w:pPr>
        <w:spacing w:after="120"/>
        <w:rPr>
          <w:rFonts w:hint="default" w:eastAsia="宋体"/>
          <w:sz w:val="20"/>
          <w:lang w:val="en-US" w:eastAsia="zh-CN"/>
        </w:rPr>
      </w:pPr>
      <w:r>
        <w:rPr>
          <w:rFonts w:hint="eastAsia" w:eastAsia="宋体"/>
          <w:sz w:val="20"/>
          <w:lang w:val="en-US" w:eastAsia="zh-CN"/>
        </w:rPr>
        <w:t>MPR reduction:</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Study and specify if necessary Power boosting or MPR reduction for PC2/PC3 with ACLR relaxation with BS indication (Study on whether and how much the requirement can be relaxed first and how often the power boosting can be done, and up to 16QAM need be studied for FR1 and FR2</w:t>
      </w:r>
    </w:p>
    <w:p>
      <w:pPr>
        <w:numPr>
          <w:ilvl w:val="0"/>
          <w:numId w:val="14"/>
        </w:numPr>
        <w:spacing w:before="120" w:beforeLines="50"/>
        <w:ind w:left="860" w:leftChars="200" w:hanging="420" w:firstLineChars="0"/>
        <w:rPr>
          <w:rFonts w:hint="eastAsia" w:eastAsia="宋体"/>
          <w:sz w:val="20"/>
          <w:lang w:val="en-US" w:eastAsia="zh-CN"/>
        </w:rPr>
      </w:pPr>
      <w:r>
        <w:rPr>
          <w:rFonts w:hint="eastAsia" w:eastAsia="宋体"/>
          <w:sz w:val="20"/>
          <w:lang w:val="en-US" w:eastAsia="zh-CN"/>
        </w:rPr>
        <w:t>ACLR relaxation outside of BS channel bandwidth or aggregated channel bandwidth or towards different operator are not allowed in this release.</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MPR reduction for UL contiguous CA in FR1/FR2</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 xml:space="preserve">For FR1, the MPR requirement is decided by the UL activated carrier bandwidth; </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 xml:space="preserve">For FR2, the MPR requirement is decided by the UL activated carrier bandwidth not related with DL aggregated channel bandwidth. </w:t>
      </w:r>
    </w:p>
    <w:p>
      <w:pPr>
        <w:spacing w:after="120"/>
        <w:rPr>
          <w:rFonts w:eastAsia="宋体"/>
          <w:sz w:val="20"/>
          <w:lang w:eastAsia="zh-CN"/>
        </w:rPr>
      </w:pPr>
    </w:p>
    <w:p>
      <w:pPr>
        <w:spacing w:after="120"/>
        <w:rPr>
          <w:rFonts w:hint="default" w:eastAsia="宋体"/>
          <w:sz w:val="20"/>
          <w:lang w:val="en-US" w:eastAsia="zh-CN"/>
        </w:rPr>
      </w:pPr>
      <w:r>
        <w:rPr>
          <w:rFonts w:hint="eastAsia" w:eastAsia="宋体"/>
          <w:sz w:val="20"/>
          <w:lang w:val="en-US" w:eastAsia="zh-CN"/>
        </w:rPr>
        <w:t>6Rx:</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Investigate and enable 6Rx on higher frequency bands (&gt;2.5GHz ) targeting at support of smartphone and FWA</w:t>
      </w:r>
    </w:p>
    <w:p>
      <w:pPr>
        <w:numPr>
          <w:ilvl w:val="1"/>
          <w:numId w:val="13"/>
        </w:numPr>
        <w:spacing w:before="120" w:beforeLines="50"/>
        <w:ind w:left="840" w:leftChars="0" w:hanging="420" w:firstLineChars="0"/>
        <w:rPr>
          <w:rFonts w:hint="eastAsia" w:eastAsia="宋体"/>
          <w:sz w:val="20"/>
          <w:lang w:val="en-US" w:eastAsia="zh-CN"/>
        </w:rPr>
      </w:pPr>
      <w:r>
        <w:rPr>
          <w:rFonts w:hint="eastAsia" w:eastAsia="宋体"/>
          <w:sz w:val="20"/>
          <w:lang w:val="en-US" w:eastAsia="zh-CN"/>
        </w:rPr>
        <w:t>Example bands: n41, n77/n78, n79</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Specify the requirements to support SRS antenna switching</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 xml:space="preserve"> 4/6 DL MIMO layer to be supported.</w:t>
      </w:r>
    </w:p>
    <w:p>
      <w:pPr>
        <w:keepNext w:val="0"/>
        <w:keepLines w:val="0"/>
        <w:pageBreakBefore w:val="0"/>
        <w:widowControl/>
        <w:numPr>
          <w:ilvl w:val="0"/>
          <w:numId w:val="13"/>
        </w:numPr>
        <w:kinsoku/>
        <w:wordWrap/>
        <w:overflowPunct/>
        <w:topLinePunct w:val="0"/>
        <w:autoSpaceDE/>
        <w:autoSpaceDN/>
        <w:bidi w:val="0"/>
        <w:adjustRightInd/>
        <w:snapToGrid/>
        <w:spacing w:before="120" w:beforeLines="50"/>
        <w:ind w:left="420" w:leftChars="0" w:hanging="420" w:firstLineChars="0"/>
        <w:textAlignment w:val="auto"/>
        <w:rPr>
          <w:rFonts w:hint="eastAsia" w:eastAsia="宋体"/>
          <w:sz w:val="20"/>
          <w:lang w:val="en-US" w:eastAsia="zh-CN"/>
        </w:rPr>
      </w:pPr>
      <w:r>
        <w:rPr>
          <w:rFonts w:hint="eastAsia" w:eastAsia="宋体"/>
          <w:sz w:val="20"/>
          <w:lang w:val="en-US" w:eastAsia="zh-CN"/>
        </w:rPr>
        <w:t>Improved SRS reporting for antenna switching usage</w:t>
      </w:r>
    </w:p>
    <w:p>
      <w:pPr>
        <w:spacing w:after="120"/>
        <w:rPr>
          <w:rFonts w:eastAsia="宋体"/>
          <w:sz w:val="20"/>
          <w:lang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4</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References</w:t>
      </w:r>
    </w:p>
    <w:bookmarkEnd w:id="2"/>
    <w:p>
      <w:pPr>
        <w:spacing w:after="0"/>
        <w:rPr>
          <w:rFonts w:hint="default" w:eastAsia="宋体"/>
          <w:sz w:val="20"/>
          <w:lang w:val="en-US" w:eastAsia="zh-CN"/>
        </w:rPr>
      </w:pPr>
      <w:r>
        <w:rPr>
          <w:rFonts w:eastAsia="宋体"/>
          <w:sz w:val="20"/>
          <w:lang w:val="en-US" w:eastAsia="zh-CN"/>
        </w:rPr>
        <w:t xml:space="preserve">[2] </w:t>
      </w:r>
      <w:r>
        <w:rPr>
          <w:rFonts w:hint="eastAsia" w:eastAsia="宋体"/>
          <w:sz w:val="20"/>
          <w:lang w:val="en-US" w:eastAsia="zh-CN"/>
        </w:rPr>
        <w:t>RP-240019,Proposed Summary for RAN Rel-19 Package: RAN4 Part.</w:t>
      </w:r>
    </w:p>
    <w:p>
      <w:pPr>
        <w:spacing w:after="0"/>
        <w:rPr>
          <w:rFonts w:hint="default" w:eastAsia="宋体"/>
          <w:sz w:val="20"/>
          <w:lang w:val="en-US" w:eastAsia="zh-CN"/>
        </w:rPr>
      </w:pPr>
    </w:p>
    <w:p>
      <w:pPr>
        <w:rPr>
          <w:rFonts w:eastAsia="宋体"/>
          <w:sz w:val="20"/>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EB747"/>
    <w:multiLevelType w:val="singleLevel"/>
    <w:tmpl w:val="9A6EB747"/>
    <w:lvl w:ilvl="0" w:tentative="0">
      <w:start w:val="1"/>
      <w:numFmt w:val="bullet"/>
      <w:lvlText w:val="−"/>
      <w:lvlJc w:val="left"/>
      <w:pPr>
        <w:ind w:left="420" w:leftChars="0" w:hanging="420" w:firstLineChars="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4D3EFFDF"/>
    <w:multiLevelType w:val="multilevel"/>
    <w:tmpl w:val="4D3EFF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51CE8697"/>
    <w:multiLevelType w:val="singleLevel"/>
    <w:tmpl w:val="51CE8697"/>
    <w:lvl w:ilvl="0" w:tentative="0">
      <w:start w:val="1"/>
      <w:numFmt w:val="bullet"/>
      <w:lvlText w:val="-"/>
      <w:lvlJc w:val="left"/>
      <w:pPr>
        <w:ind w:left="420" w:leftChars="0" w:hanging="420" w:firstLineChars="0"/>
      </w:pPr>
      <w:rPr>
        <w:rFonts w:hint="default" w:ascii="Arial" w:hAnsi="Arial" w:cs="Arial"/>
      </w:r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4"/>
  </w:num>
  <w:num w:numId="3">
    <w:abstractNumId w:val="3"/>
  </w:num>
  <w:num w:numId="4">
    <w:abstractNumId w:val="2"/>
  </w:num>
  <w:num w:numId="5">
    <w:abstractNumId w:val="1"/>
  </w:num>
  <w:num w:numId="6">
    <w:abstractNumId w:val="10"/>
  </w:num>
  <w:num w:numId="7">
    <w:abstractNumId w:val="12"/>
  </w:num>
  <w:num w:numId="8">
    <w:abstractNumId w:val="14"/>
  </w:num>
  <w:num w:numId="9">
    <w:abstractNumId w:val="6"/>
  </w:num>
  <w:num w:numId="10">
    <w:abstractNumId w:val="7"/>
  </w:num>
  <w:num w:numId="11">
    <w:abstractNumId w:val="5"/>
  </w:num>
  <w:num w:numId="12">
    <w:abstractNumId w:val="13"/>
  </w:num>
  <w:num w:numId="13">
    <w:abstractNumId w:val="8"/>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4E87"/>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596"/>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52774"/>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453EB"/>
    <w:rsid w:val="02093AA7"/>
    <w:rsid w:val="02096EC3"/>
    <w:rsid w:val="020B40A7"/>
    <w:rsid w:val="020E4504"/>
    <w:rsid w:val="0213141D"/>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16816"/>
    <w:rsid w:val="02431581"/>
    <w:rsid w:val="024438C6"/>
    <w:rsid w:val="024A3435"/>
    <w:rsid w:val="024B6B6F"/>
    <w:rsid w:val="024D21CD"/>
    <w:rsid w:val="024F2105"/>
    <w:rsid w:val="02582092"/>
    <w:rsid w:val="0258386E"/>
    <w:rsid w:val="02607B71"/>
    <w:rsid w:val="026B2AD2"/>
    <w:rsid w:val="026D6C37"/>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8643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0231"/>
    <w:rsid w:val="03E23027"/>
    <w:rsid w:val="03E25B91"/>
    <w:rsid w:val="03E311A7"/>
    <w:rsid w:val="03E43C7E"/>
    <w:rsid w:val="03E73766"/>
    <w:rsid w:val="03EA2C5B"/>
    <w:rsid w:val="03EA5C1E"/>
    <w:rsid w:val="03F00DB3"/>
    <w:rsid w:val="03F42BA3"/>
    <w:rsid w:val="03F62FEF"/>
    <w:rsid w:val="03F71248"/>
    <w:rsid w:val="03FC6EFD"/>
    <w:rsid w:val="03FD0897"/>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67D55"/>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53129"/>
    <w:rsid w:val="04B773EC"/>
    <w:rsid w:val="04BE7AB0"/>
    <w:rsid w:val="04C8107C"/>
    <w:rsid w:val="04CA2462"/>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7422C"/>
    <w:rsid w:val="060C3AE5"/>
    <w:rsid w:val="061013EC"/>
    <w:rsid w:val="061029F7"/>
    <w:rsid w:val="06103B5B"/>
    <w:rsid w:val="061B2115"/>
    <w:rsid w:val="061B7605"/>
    <w:rsid w:val="061F29AE"/>
    <w:rsid w:val="06237041"/>
    <w:rsid w:val="062C2331"/>
    <w:rsid w:val="06361F8C"/>
    <w:rsid w:val="06373D19"/>
    <w:rsid w:val="064002FE"/>
    <w:rsid w:val="0640437B"/>
    <w:rsid w:val="064057DF"/>
    <w:rsid w:val="0644422D"/>
    <w:rsid w:val="064B73E6"/>
    <w:rsid w:val="065A0806"/>
    <w:rsid w:val="065A68BA"/>
    <w:rsid w:val="0663036D"/>
    <w:rsid w:val="06640C87"/>
    <w:rsid w:val="067A3500"/>
    <w:rsid w:val="06857371"/>
    <w:rsid w:val="068B32C2"/>
    <w:rsid w:val="068B6B45"/>
    <w:rsid w:val="069561E9"/>
    <w:rsid w:val="06994F78"/>
    <w:rsid w:val="069A1A61"/>
    <w:rsid w:val="069B6E98"/>
    <w:rsid w:val="069C44CD"/>
    <w:rsid w:val="06A665F7"/>
    <w:rsid w:val="06A92B64"/>
    <w:rsid w:val="06AB1DFD"/>
    <w:rsid w:val="06AB26A7"/>
    <w:rsid w:val="06B74133"/>
    <w:rsid w:val="06C31A1F"/>
    <w:rsid w:val="06C453F9"/>
    <w:rsid w:val="06C62533"/>
    <w:rsid w:val="06C74990"/>
    <w:rsid w:val="06C82DD0"/>
    <w:rsid w:val="06CB06AF"/>
    <w:rsid w:val="06CB1E4E"/>
    <w:rsid w:val="06DA77D3"/>
    <w:rsid w:val="06DB1EBA"/>
    <w:rsid w:val="06DC48E2"/>
    <w:rsid w:val="06DD66A9"/>
    <w:rsid w:val="06DD7770"/>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45FBF"/>
    <w:rsid w:val="078607F9"/>
    <w:rsid w:val="0786674C"/>
    <w:rsid w:val="07880BDC"/>
    <w:rsid w:val="07884C28"/>
    <w:rsid w:val="078938A6"/>
    <w:rsid w:val="078D38BB"/>
    <w:rsid w:val="0791652A"/>
    <w:rsid w:val="07954213"/>
    <w:rsid w:val="07984F47"/>
    <w:rsid w:val="079A211D"/>
    <w:rsid w:val="07AF6186"/>
    <w:rsid w:val="07B342C4"/>
    <w:rsid w:val="07B66837"/>
    <w:rsid w:val="07C61C94"/>
    <w:rsid w:val="07C9025A"/>
    <w:rsid w:val="07CD7683"/>
    <w:rsid w:val="07D52794"/>
    <w:rsid w:val="07D81217"/>
    <w:rsid w:val="07D87F92"/>
    <w:rsid w:val="07DB1538"/>
    <w:rsid w:val="07DF0451"/>
    <w:rsid w:val="07DF766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4274C"/>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DA28B7"/>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8A2FAF"/>
    <w:rsid w:val="0A904D0B"/>
    <w:rsid w:val="0A916E1D"/>
    <w:rsid w:val="0A962E4E"/>
    <w:rsid w:val="0A9774A5"/>
    <w:rsid w:val="0A9B0116"/>
    <w:rsid w:val="0A9B1CF2"/>
    <w:rsid w:val="0AA27AC1"/>
    <w:rsid w:val="0AA36735"/>
    <w:rsid w:val="0AA738E8"/>
    <w:rsid w:val="0AAA4BCB"/>
    <w:rsid w:val="0AAC3F8B"/>
    <w:rsid w:val="0AAC5BDF"/>
    <w:rsid w:val="0AAE6112"/>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326F6"/>
    <w:rsid w:val="0BC512D1"/>
    <w:rsid w:val="0BC579DC"/>
    <w:rsid w:val="0BC61946"/>
    <w:rsid w:val="0BC94107"/>
    <w:rsid w:val="0BC94B37"/>
    <w:rsid w:val="0BCA21C2"/>
    <w:rsid w:val="0BCC6647"/>
    <w:rsid w:val="0BCD72B2"/>
    <w:rsid w:val="0BD254C0"/>
    <w:rsid w:val="0BD43488"/>
    <w:rsid w:val="0BD8075F"/>
    <w:rsid w:val="0BDD1E37"/>
    <w:rsid w:val="0BE1620F"/>
    <w:rsid w:val="0BE376C6"/>
    <w:rsid w:val="0BE44EE9"/>
    <w:rsid w:val="0BE7693E"/>
    <w:rsid w:val="0BEB3202"/>
    <w:rsid w:val="0BEB39E4"/>
    <w:rsid w:val="0BEF5FF5"/>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9D4FE4"/>
    <w:rsid w:val="0CA0626B"/>
    <w:rsid w:val="0CA4698B"/>
    <w:rsid w:val="0CA82CB9"/>
    <w:rsid w:val="0CAB29E1"/>
    <w:rsid w:val="0CAC5333"/>
    <w:rsid w:val="0CB607E1"/>
    <w:rsid w:val="0CB76AF5"/>
    <w:rsid w:val="0CBD452D"/>
    <w:rsid w:val="0CBD71E9"/>
    <w:rsid w:val="0CC06DF7"/>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8C150E"/>
    <w:rsid w:val="0D955435"/>
    <w:rsid w:val="0D9762F8"/>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77796"/>
    <w:rsid w:val="0E386486"/>
    <w:rsid w:val="0E3E1DC2"/>
    <w:rsid w:val="0E413C17"/>
    <w:rsid w:val="0E4D1CC0"/>
    <w:rsid w:val="0E52758D"/>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96767"/>
    <w:rsid w:val="0EBA588B"/>
    <w:rsid w:val="0EBC786E"/>
    <w:rsid w:val="0EBF1B28"/>
    <w:rsid w:val="0EC23719"/>
    <w:rsid w:val="0EC23ABC"/>
    <w:rsid w:val="0EC26502"/>
    <w:rsid w:val="0EC4192E"/>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71519"/>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8257A"/>
    <w:rsid w:val="100A2D6F"/>
    <w:rsid w:val="100C51AD"/>
    <w:rsid w:val="1010549F"/>
    <w:rsid w:val="10145E18"/>
    <w:rsid w:val="10175238"/>
    <w:rsid w:val="10197CA4"/>
    <w:rsid w:val="101B0376"/>
    <w:rsid w:val="101E6D08"/>
    <w:rsid w:val="10222442"/>
    <w:rsid w:val="10233686"/>
    <w:rsid w:val="10276844"/>
    <w:rsid w:val="10276DE3"/>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84A9B"/>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84002"/>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10D48"/>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D51AC"/>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8353D"/>
    <w:rsid w:val="141C3974"/>
    <w:rsid w:val="141C6153"/>
    <w:rsid w:val="142303BD"/>
    <w:rsid w:val="1424321C"/>
    <w:rsid w:val="14245B22"/>
    <w:rsid w:val="14250A9F"/>
    <w:rsid w:val="142645F9"/>
    <w:rsid w:val="142D35E4"/>
    <w:rsid w:val="142F3B07"/>
    <w:rsid w:val="14365BAC"/>
    <w:rsid w:val="143871EC"/>
    <w:rsid w:val="1439662C"/>
    <w:rsid w:val="143C211F"/>
    <w:rsid w:val="1441332A"/>
    <w:rsid w:val="14477937"/>
    <w:rsid w:val="144967C6"/>
    <w:rsid w:val="144C2878"/>
    <w:rsid w:val="14503159"/>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8141E2"/>
    <w:rsid w:val="14822007"/>
    <w:rsid w:val="14884F90"/>
    <w:rsid w:val="148B705D"/>
    <w:rsid w:val="148B7957"/>
    <w:rsid w:val="148F04C6"/>
    <w:rsid w:val="148F1962"/>
    <w:rsid w:val="1497510D"/>
    <w:rsid w:val="149A0366"/>
    <w:rsid w:val="149D4997"/>
    <w:rsid w:val="149F45A3"/>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A7B9E"/>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02B3"/>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569EA"/>
    <w:rsid w:val="15D916B7"/>
    <w:rsid w:val="15E70479"/>
    <w:rsid w:val="15EA0E3A"/>
    <w:rsid w:val="15EE6110"/>
    <w:rsid w:val="15EF6C75"/>
    <w:rsid w:val="15F04694"/>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563B79"/>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0B4C"/>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ED7C68"/>
    <w:rsid w:val="16F12924"/>
    <w:rsid w:val="16F24382"/>
    <w:rsid w:val="16F93409"/>
    <w:rsid w:val="16FB40C0"/>
    <w:rsid w:val="16FB68B3"/>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D978B2"/>
    <w:rsid w:val="17EA0FC8"/>
    <w:rsid w:val="17EA7BC8"/>
    <w:rsid w:val="17F026B2"/>
    <w:rsid w:val="17F04DB6"/>
    <w:rsid w:val="17F64009"/>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57383"/>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853A7"/>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C2918"/>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3796E"/>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B65CD"/>
    <w:rsid w:val="1AAC41E5"/>
    <w:rsid w:val="1AB26A04"/>
    <w:rsid w:val="1ABA00A4"/>
    <w:rsid w:val="1ABA2F45"/>
    <w:rsid w:val="1ABC58D9"/>
    <w:rsid w:val="1AC110D4"/>
    <w:rsid w:val="1AC11AA5"/>
    <w:rsid w:val="1AC86DE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84BA2"/>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81C36"/>
    <w:rsid w:val="1B794FC4"/>
    <w:rsid w:val="1B7B006C"/>
    <w:rsid w:val="1B87058E"/>
    <w:rsid w:val="1B897217"/>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05D3B"/>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3253C"/>
    <w:rsid w:val="1CD51947"/>
    <w:rsid w:val="1CD714E1"/>
    <w:rsid w:val="1CDD29AB"/>
    <w:rsid w:val="1CDD2C02"/>
    <w:rsid w:val="1CDF6E20"/>
    <w:rsid w:val="1CE169B4"/>
    <w:rsid w:val="1CEB1CBD"/>
    <w:rsid w:val="1CF075BE"/>
    <w:rsid w:val="1CF13104"/>
    <w:rsid w:val="1CF218F5"/>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1795"/>
    <w:rsid w:val="1DE77A68"/>
    <w:rsid w:val="1DEB0682"/>
    <w:rsid w:val="1DED79A4"/>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C7B48"/>
    <w:rsid w:val="1E9F6590"/>
    <w:rsid w:val="1EAA1FDC"/>
    <w:rsid w:val="1EAB786A"/>
    <w:rsid w:val="1EAC5B65"/>
    <w:rsid w:val="1EB70708"/>
    <w:rsid w:val="1EB72468"/>
    <w:rsid w:val="1EB8778F"/>
    <w:rsid w:val="1EBA0A60"/>
    <w:rsid w:val="1EBB5872"/>
    <w:rsid w:val="1EBD2B34"/>
    <w:rsid w:val="1EBE7B91"/>
    <w:rsid w:val="1EBF2648"/>
    <w:rsid w:val="1EC040DD"/>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47CB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0630"/>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201ED"/>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C5B52"/>
    <w:rsid w:val="21DE0E28"/>
    <w:rsid w:val="21E00B79"/>
    <w:rsid w:val="21E11676"/>
    <w:rsid w:val="21E2422B"/>
    <w:rsid w:val="21E75E06"/>
    <w:rsid w:val="21EA18A9"/>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EC10DB"/>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43C6"/>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1559D"/>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A7600"/>
    <w:rsid w:val="278E0A47"/>
    <w:rsid w:val="278E2D37"/>
    <w:rsid w:val="279121D8"/>
    <w:rsid w:val="2794232D"/>
    <w:rsid w:val="27A60643"/>
    <w:rsid w:val="27A9577A"/>
    <w:rsid w:val="27AF66CB"/>
    <w:rsid w:val="27B40B8B"/>
    <w:rsid w:val="27BB7D18"/>
    <w:rsid w:val="27BF2614"/>
    <w:rsid w:val="27BF46B7"/>
    <w:rsid w:val="27C66B41"/>
    <w:rsid w:val="27DA480B"/>
    <w:rsid w:val="27E1537C"/>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1C0984"/>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5023D"/>
    <w:rsid w:val="28580E28"/>
    <w:rsid w:val="285A227D"/>
    <w:rsid w:val="285B3BC6"/>
    <w:rsid w:val="285C37F7"/>
    <w:rsid w:val="285E01C8"/>
    <w:rsid w:val="28616A9E"/>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F566D8"/>
    <w:rsid w:val="28F60D2F"/>
    <w:rsid w:val="28FC56CF"/>
    <w:rsid w:val="28FF39FD"/>
    <w:rsid w:val="29064E8D"/>
    <w:rsid w:val="290C3541"/>
    <w:rsid w:val="290E7A11"/>
    <w:rsid w:val="290F19FA"/>
    <w:rsid w:val="290F750B"/>
    <w:rsid w:val="291011D9"/>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0687A"/>
    <w:rsid w:val="2A043CA0"/>
    <w:rsid w:val="2A087389"/>
    <w:rsid w:val="2A10006B"/>
    <w:rsid w:val="2A10774C"/>
    <w:rsid w:val="2A140227"/>
    <w:rsid w:val="2A143422"/>
    <w:rsid w:val="2A144629"/>
    <w:rsid w:val="2A177A4C"/>
    <w:rsid w:val="2A1839A0"/>
    <w:rsid w:val="2A1C7A4C"/>
    <w:rsid w:val="2A201F63"/>
    <w:rsid w:val="2A224388"/>
    <w:rsid w:val="2A23135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0173"/>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42000"/>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4C5940"/>
    <w:rsid w:val="2D502559"/>
    <w:rsid w:val="2D5176BF"/>
    <w:rsid w:val="2D55549D"/>
    <w:rsid w:val="2D560F90"/>
    <w:rsid w:val="2D5B4632"/>
    <w:rsid w:val="2D5F0974"/>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A0C7D"/>
    <w:rsid w:val="2DAF69D3"/>
    <w:rsid w:val="2DB66D99"/>
    <w:rsid w:val="2DBA7C19"/>
    <w:rsid w:val="2DBE1352"/>
    <w:rsid w:val="2DC16033"/>
    <w:rsid w:val="2DC714C5"/>
    <w:rsid w:val="2DCA634A"/>
    <w:rsid w:val="2DCA6960"/>
    <w:rsid w:val="2DCD7D49"/>
    <w:rsid w:val="2DCE1B52"/>
    <w:rsid w:val="2DCE611A"/>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06B9"/>
    <w:rsid w:val="2E904A8A"/>
    <w:rsid w:val="2E997981"/>
    <w:rsid w:val="2EA12F6D"/>
    <w:rsid w:val="2EA91956"/>
    <w:rsid w:val="2EAC20B4"/>
    <w:rsid w:val="2EAC4449"/>
    <w:rsid w:val="2EAF666B"/>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224A"/>
    <w:rsid w:val="2EF46377"/>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975FE"/>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2008C2"/>
    <w:rsid w:val="31200CA6"/>
    <w:rsid w:val="31241CD6"/>
    <w:rsid w:val="312974BE"/>
    <w:rsid w:val="312A3D0F"/>
    <w:rsid w:val="312A699B"/>
    <w:rsid w:val="312D6563"/>
    <w:rsid w:val="312D6D92"/>
    <w:rsid w:val="31311AA0"/>
    <w:rsid w:val="31323493"/>
    <w:rsid w:val="31331EC5"/>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17F20"/>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C6BB2"/>
    <w:rsid w:val="31CE242D"/>
    <w:rsid w:val="31D21A2E"/>
    <w:rsid w:val="31D22884"/>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9E5C86"/>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D2E42"/>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B4752"/>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A3513"/>
    <w:rsid w:val="341E3E6B"/>
    <w:rsid w:val="34206DD0"/>
    <w:rsid w:val="34236595"/>
    <w:rsid w:val="342848DD"/>
    <w:rsid w:val="342B013D"/>
    <w:rsid w:val="342C7CD4"/>
    <w:rsid w:val="34365D0F"/>
    <w:rsid w:val="343E3F00"/>
    <w:rsid w:val="344062C5"/>
    <w:rsid w:val="34421727"/>
    <w:rsid w:val="34455BD8"/>
    <w:rsid w:val="344E45AD"/>
    <w:rsid w:val="34537A00"/>
    <w:rsid w:val="34547762"/>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B7240"/>
    <w:rsid w:val="347D6B7F"/>
    <w:rsid w:val="347F6999"/>
    <w:rsid w:val="34816BB3"/>
    <w:rsid w:val="348354E8"/>
    <w:rsid w:val="34896D32"/>
    <w:rsid w:val="34913157"/>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815A5"/>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327D7"/>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CE526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026E"/>
    <w:rsid w:val="36872588"/>
    <w:rsid w:val="368910D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176EF"/>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362AC"/>
    <w:rsid w:val="37247052"/>
    <w:rsid w:val="37277F10"/>
    <w:rsid w:val="372D4141"/>
    <w:rsid w:val="372D5E85"/>
    <w:rsid w:val="37316255"/>
    <w:rsid w:val="37394D35"/>
    <w:rsid w:val="373A7A98"/>
    <w:rsid w:val="373B0631"/>
    <w:rsid w:val="373E57E6"/>
    <w:rsid w:val="374370B3"/>
    <w:rsid w:val="37446FAC"/>
    <w:rsid w:val="37472937"/>
    <w:rsid w:val="37497D6C"/>
    <w:rsid w:val="3750226C"/>
    <w:rsid w:val="37502818"/>
    <w:rsid w:val="375127CE"/>
    <w:rsid w:val="37513D01"/>
    <w:rsid w:val="37525615"/>
    <w:rsid w:val="37535CB6"/>
    <w:rsid w:val="375C30D2"/>
    <w:rsid w:val="37673A15"/>
    <w:rsid w:val="376C5889"/>
    <w:rsid w:val="376D30B7"/>
    <w:rsid w:val="376F3C3D"/>
    <w:rsid w:val="37732734"/>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1349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3D6152"/>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2A2AEE"/>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51E54"/>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7F084D"/>
    <w:rsid w:val="3A81594C"/>
    <w:rsid w:val="3A843875"/>
    <w:rsid w:val="3A847C2A"/>
    <w:rsid w:val="3A87131D"/>
    <w:rsid w:val="3A8D578A"/>
    <w:rsid w:val="3A8F41CE"/>
    <w:rsid w:val="3A93404D"/>
    <w:rsid w:val="3A9603D1"/>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67D35"/>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082D7D"/>
    <w:rsid w:val="3C10036C"/>
    <w:rsid w:val="3C1535F3"/>
    <w:rsid w:val="3C1E081A"/>
    <w:rsid w:val="3C203EC0"/>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1061B"/>
    <w:rsid w:val="3CB44001"/>
    <w:rsid w:val="3CB51796"/>
    <w:rsid w:val="3CBD6D74"/>
    <w:rsid w:val="3CBF58EB"/>
    <w:rsid w:val="3CC13333"/>
    <w:rsid w:val="3CCB357A"/>
    <w:rsid w:val="3CCF7E17"/>
    <w:rsid w:val="3CD00C23"/>
    <w:rsid w:val="3CD259B2"/>
    <w:rsid w:val="3CDE12E7"/>
    <w:rsid w:val="3CDF6131"/>
    <w:rsid w:val="3CE93697"/>
    <w:rsid w:val="3CE955C1"/>
    <w:rsid w:val="3CED1A87"/>
    <w:rsid w:val="3CEF5108"/>
    <w:rsid w:val="3CF04064"/>
    <w:rsid w:val="3CF06EF8"/>
    <w:rsid w:val="3CF1328C"/>
    <w:rsid w:val="3CF61DAF"/>
    <w:rsid w:val="3CF64315"/>
    <w:rsid w:val="3CF71B17"/>
    <w:rsid w:val="3D0016F4"/>
    <w:rsid w:val="3D0037E1"/>
    <w:rsid w:val="3D007FB3"/>
    <w:rsid w:val="3D0609DC"/>
    <w:rsid w:val="3D081DFD"/>
    <w:rsid w:val="3D0C216F"/>
    <w:rsid w:val="3D0D09B7"/>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21247"/>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14905"/>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9EA"/>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4666"/>
    <w:rsid w:val="3F237C44"/>
    <w:rsid w:val="3F240610"/>
    <w:rsid w:val="3F2472FB"/>
    <w:rsid w:val="3F25295F"/>
    <w:rsid w:val="3F281039"/>
    <w:rsid w:val="3F2923EF"/>
    <w:rsid w:val="3F2A681D"/>
    <w:rsid w:val="3F32562E"/>
    <w:rsid w:val="3F326D3E"/>
    <w:rsid w:val="3F3428C0"/>
    <w:rsid w:val="3F431AC0"/>
    <w:rsid w:val="3F43787D"/>
    <w:rsid w:val="3F472B40"/>
    <w:rsid w:val="3F4E70D6"/>
    <w:rsid w:val="3F506304"/>
    <w:rsid w:val="3F573B4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D32F3"/>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263C9"/>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3F19"/>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42CD"/>
    <w:rsid w:val="40796509"/>
    <w:rsid w:val="407A080F"/>
    <w:rsid w:val="407B3D06"/>
    <w:rsid w:val="40844021"/>
    <w:rsid w:val="408604AB"/>
    <w:rsid w:val="40877946"/>
    <w:rsid w:val="40891323"/>
    <w:rsid w:val="408F6C4D"/>
    <w:rsid w:val="40924A6B"/>
    <w:rsid w:val="4097144A"/>
    <w:rsid w:val="40A27041"/>
    <w:rsid w:val="40A54DB9"/>
    <w:rsid w:val="40A84378"/>
    <w:rsid w:val="40AB4BB4"/>
    <w:rsid w:val="40AF46F4"/>
    <w:rsid w:val="40B00583"/>
    <w:rsid w:val="40B24A84"/>
    <w:rsid w:val="40B857A3"/>
    <w:rsid w:val="40BB567D"/>
    <w:rsid w:val="40BD03FE"/>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2628C0"/>
    <w:rsid w:val="412F7441"/>
    <w:rsid w:val="41390167"/>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5768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24B0D"/>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52086"/>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75306"/>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179E8"/>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0402F"/>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927E0"/>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843A5"/>
    <w:rsid w:val="46993B9E"/>
    <w:rsid w:val="469B557F"/>
    <w:rsid w:val="469B5775"/>
    <w:rsid w:val="46A15B02"/>
    <w:rsid w:val="46A47094"/>
    <w:rsid w:val="46AB0B09"/>
    <w:rsid w:val="46AD3657"/>
    <w:rsid w:val="46AF0CFC"/>
    <w:rsid w:val="46B34F58"/>
    <w:rsid w:val="46B81373"/>
    <w:rsid w:val="46BB342C"/>
    <w:rsid w:val="46BC1339"/>
    <w:rsid w:val="46C370AC"/>
    <w:rsid w:val="46C75D91"/>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81B60"/>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700CB"/>
    <w:rsid w:val="477A7006"/>
    <w:rsid w:val="477B277D"/>
    <w:rsid w:val="477C2090"/>
    <w:rsid w:val="477F6E46"/>
    <w:rsid w:val="477F6FC2"/>
    <w:rsid w:val="478373EB"/>
    <w:rsid w:val="47893F0A"/>
    <w:rsid w:val="478971A4"/>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36BB7"/>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A52D4"/>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71B6A"/>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AFB47F7"/>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D7A2A"/>
    <w:rsid w:val="4CAE0A1E"/>
    <w:rsid w:val="4CAE34C1"/>
    <w:rsid w:val="4CB65182"/>
    <w:rsid w:val="4CBB763F"/>
    <w:rsid w:val="4CBC4853"/>
    <w:rsid w:val="4CBE7285"/>
    <w:rsid w:val="4CC325AA"/>
    <w:rsid w:val="4CC37E5E"/>
    <w:rsid w:val="4CC423AF"/>
    <w:rsid w:val="4CC44D6A"/>
    <w:rsid w:val="4CD465B5"/>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0F556E"/>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9F4B65"/>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002B9"/>
    <w:rsid w:val="4E2045ED"/>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E0042"/>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72EBD"/>
    <w:rsid w:val="4FC94AF2"/>
    <w:rsid w:val="4FCB5260"/>
    <w:rsid w:val="4FCB650F"/>
    <w:rsid w:val="4FCE3EC5"/>
    <w:rsid w:val="4FCE544F"/>
    <w:rsid w:val="4FD40693"/>
    <w:rsid w:val="4FE00E81"/>
    <w:rsid w:val="4FE45BD1"/>
    <w:rsid w:val="4FE56060"/>
    <w:rsid w:val="4FEA0FEF"/>
    <w:rsid w:val="4FEE3280"/>
    <w:rsid w:val="4FF36DA2"/>
    <w:rsid w:val="4FFA3743"/>
    <w:rsid w:val="4FFE02AC"/>
    <w:rsid w:val="50024D7D"/>
    <w:rsid w:val="500647A0"/>
    <w:rsid w:val="50065406"/>
    <w:rsid w:val="500713FC"/>
    <w:rsid w:val="500779F7"/>
    <w:rsid w:val="500F2C52"/>
    <w:rsid w:val="50115029"/>
    <w:rsid w:val="50130207"/>
    <w:rsid w:val="50167B60"/>
    <w:rsid w:val="50186DCC"/>
    <w:rsid w:val="50213603"/>
    <w:rsid w:val="502F5558"/>
    <w:rsid w:val="50325A21"/>
    <w:rsid w:val="50337DE4"/>
    <w:rsid w:val="503835C1"/>
    <w:rsid w:val="503A4A06"/>
    <w:rsid w:val="503C3D10"/>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0AB4"/>
    <w:rsid w:val="509029E8"/>
    <w:rsid w:val="509254DF"/>
    <w:rsid w:val="50940432"/>
    <w:rsid w:val="5099452D"/>
    <w:rsid w:val="509B7833"/>
    <w:rsid w:val="509E6025"/>
    <w:rsid w:val="50A03B41"/>
    <w:rsid w:val="50A27CE2"/>
    <w:rsid w:val="50A52147"/>
    <w:rsid w:val="50AA0228"/>
    <w:rsid w:val="50AB3438"/>
    <w:rsid w:val="50B4454D"/>
    <w:rsid w:val="50B8379F"/>
    <w:rsid w:val="50B93693"/>
    <w:rsid w:val="50BA537E"/>
    <w:rsid w:val="50BD1960"/>
    <w:rsid w:val="50C141E4"/>
    <w:rsid w:val="50C234E3"/>
    <w:rsid w:val="50C563FB"/>
    <w:rsid w:val="50C862F8"/>
    <w:rsid w:val="50CA4BE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5352B"/>
    <w:rsid w:val="521A6B40"/>
    <w:rsid w:val="521C7DEC"/>
    <w:rsid w:val="522231D7"/>
    <w:rsid w:val="522434D9"/>
    <w:rsid w:val="522C63C9"/>
    <w:rsid w:val="52345124"/>
    <w:rsid w:val="5235079D"/>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3E461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C1419"/>
    <w:rsid w:val="542D6443"/>
    <w:rsid w:val="54302601"/>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130C3"/>
    <w:rsid w:val="54A314C5"/>
    <w:rsid w:val="54AB3A01"/>
    <w:rsid w:val="54AF4B43"/>
    <w:rsid w:val="54B153A9"/>
    <w:rsid w:val="54B65383"/>
    <w:rsid w:val="54B74AF7"/>
    <w:rsid w:val="54B84FDF"/>
    <w:rsid w:val="54BA3083"/>
    <w:rsid w:val="54BF5F87"/>
    <w:rsid w:val="54C330AC"/>
    <w:rsid w:val="54C83AC0"/>
    <w:rsid w:val="54C95C5D"/>
    <w:rsid w:val="54CD5FCD"/>
    <w:rsid w:val="54CF46B1"/>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96B5E"/>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984051"/>
    <w:rsid w:val="55AA5F30"/>
    <w:rsid w:val="55AE002D"/>
    <w:rsid w:val="55AF71ED"/>
    <w:rsid w:val="55B45760"/>
    <w:rsid w:val="55B66D2E"/>
    <w:rsid w:val="55BB1464"/>
    <w:rsid w:val="55BE303B"/>
    <w:rsid w:val="55CE7D50"/>
    <w:rsid w:val="55D125CE"/>
    <w:rsid w:val="55DD601F"/>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1696"/>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6FD7D1F"/>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13011"/>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0E0C05"/>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45909"/>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50E68"/>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34FF5"/>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C63C3"/>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653AD"/>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05299"/>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A57E0"/>
    <w:rsid w:val="5E1B4A6C"/>
    <w:rsid w:val="5E1B7B71"/>
    <w:rsid w:val="5E1C61EC"/>
    <w:rsid w:val="5E210015"/>
    <w:rsid w:val="5E2324C4"/>
    <w:rsid w:val="5E2720CA"/>
    <w:rsid w:val="5E2C695E"/>
    <w:rsid w:val="5E325597"/>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91BB9"/>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50464"/>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A2528"/>
    <w:rsid w:val="60FD7D90"/>
    <w:rsid w:val="61043A4B"/>
    <w:rsid w:val="61092703"/>
    <w:rsid w:val="610C0BE1"/>
    <w:rsid w:val="610D0F42"/>
    <w:rsid w:val="610F24C5"/>
    <w:rsid w:val="611013A5"/>
    <w:rsid w:val="61106AAF"/>
    <w:rsid w:val="6111106A"/>
    <w:rsid w:val="611C718C"/>
    <w:rsid w:val="61271426"/>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1E9B"/>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63089"/>
    <w:rsid w:val="625746E0"/>
    <w:rsid w:val="62580311"/>
    <w:rsid w:val="62582A8B"/>
    <w:rsid w:val="625C025D"/>
    <w:rsid w:val="625C1376"/>
    <w:rsid w:val="625D6356"/>
    <w:rsid w:val="626041CE"/>
    <w:rsid w:val="62604577"/>
    <w:rsid w:val="62607F0F"/>
    <w:rsid w:val="62646C56"/>
    <w:rsid w:val="62675C23"/>
    <w:rsid w:val="626913D2"/>
    <w:rsid w:val="62695C01"/>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16A55"/>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14CD9"/>
    <w:rsid w:val="62E20E3A"/>
    <w:rsid w:val="62ED1511"/>
    <w:rsid w:val="62EF7A5B"/>
    <w:rsid w:val="62F0396F"/>
    <w:rsid w:val="62F16736"/>
    <w:rsid w:val="62F40B4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11BB7"/>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3A78"/>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0FBF"/>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70D7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C1037E"/>
    <w:rsid w:val="64D001A0"/>
    <w:rsid w:val="64D43462"/>
    <w:rsid w:val="64D705EB"/>
    <w:rsid w:val="64D837BC"/>
    <w:rsid w:val="64DA452F"/>
    <w:rsid w:val="64DE3DE3"/>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3E4948"/>
    <w:rsid w:val="654005B7"/>
    <w:rsid w:val="654051D8"/>
    <w:rsid w:val="65434DA0"/>
    <w:rsid w:val="65444F22"/>
    <w:rsid w:val="65445FE4"/>
    <w:rsid w:val="6547108D"/>
    <w:rsid w:val="65484DE3"/>
    <w:rsid w:val="654B6010"/>
    <w:rsid w:val="654E3684"/>
    <w:rsid w:val="655E2E69"/>
    <w:rsid w:val="65620CDF"/>
    <w:rsid w:val="656763D3"/>
    <w:rsid w:val="656A2B47"/>
    <w:rsid w:val="656E5FF8"/>
    <w:rsid w:val="65735680"/>
    <w:rsid w:val="65755AA9"/>
    <w:rsid w:val="657701D4"/>
    <w:rsid w:val="657763D1"/>
    <w:rsid w:val="6577679C"/>
    <w:rsid w:val="657B1E73"/>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3AD8"/>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12D05"/>
    <w:rsid w:val="66423D6F"/>
    <w:rsid w:val="66491DB7"/>
    <w:rsid w:val="664F4FF4"/>
    <w:rsid w:val="66545A96"/>
    <w:rsid w:val="66557E51"/>
    <w:rsid w:val="66561F3C"/>
    <w:rsid w:val="665A6B7C"/>
    <w:rsid w:val="665B2E0B"/>
    <w:rsid w:val="665C7E3A"/>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565B5"/>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73B6"/>
    <w:rsid w:val="67CD30AE"/>
    <w:rsid w:val="67D4035E"/>
    <w:rsid w:val="67D45217"/>
    <w:rsid w:val="67D812CB"/>
    <w:rsid w:val="67D93324"/>
    <w:rsid w:val="67DC3979"/>
    <w:rsid w:val="67E30381"/>
    <w:rsid w:val="67E52885"/>
    <w:rsid w:val="67E8140A"/>
    <w:rsid w:val="67E81682"/>
    <w:rsid w:val="67E86538"/>
    <w:rsid w:val="67E96C00"/>
    <w:rsid w:val="67EA07C1"/>
    <w:rsid w:val="67EE61ED"/>
    <w:rsid w:val="67F43FF6"/>
    <w:rsid w:val="67FC5BF8"/>
    <w:rsid w:val="680361C8"/>
    <w:rsid w:val="6807753D"/>
    <w:rsid w:val="68081F8F"/>
    <w:rsid w:val="680A6DD6"/>
    <w:rsid w:val="6813706E"/>
    <w:rsid w:val="681B06B2"/>
    <w:rsid w:val="68206C4A"/>
    <w:rsid w:val="68223ABA"/>
    <w:rsid w:val="68252F30"/>
    <w:rsid w:val="68272859"/>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04AA9"/>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40A3"/>
    <w:rsid w:val="6A6A5B24"/>
    <w:rsid w:val="6A722D01"/>
    <w:rsid w:val="6A7E3F26"/>
    <w:rsid w:val="6A842F61"/>
    <w:rsid w:val="6A893C5B"/>
    <w:rsid w:val="6A8A6E92"/>
    <w:rsid w:val="6A8C028A"/>
    <w:rsid w:val="6A8F5B50"/>
    <w:rsid w:val="6A901EF2"/>
    <w:rsid w:val="6A904CE3"/>
    <w:rsid w:val="6A984426"/>
    <w:rsid w:val="6A9E7F9F"/>
    <w:rsid w:val="6AA64B0B"/>
    <w:rsid w:val="6AA840CF"/>
    <w:rsid w:val="6AA957FF"/>
    <w:rsid w:val="6AAB0593"/>
    <w:rsid w:val="6AAF4F01"/>
    <w:rsid w:val="6AB936AC"/>
    <w:rsid w:val="6ABC0113"/>
    <w:rsid w:val="6ABC5C6B"/>
    <w:rsid w:val="6AC03859"/>
    <w:rsid w:val="6AC54DB6"/>
    <w:rsid w:val="6AC70E22"/>
    <w:rsid w:val="6ACD4739"/>
    <w:rsid w:val="6AD24384"/>
    <w:rsid w:val="6AD64DED"/>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D2685"/>
    <w:rsid w:val="6B7F2048"/>
    <w:rsid w:val="6B7F586D"/>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530BC"/>
    <w:rsid w:val="6BD82F70"/>
    <w:rsid w:val="6BDB61D4"/>
    <w:rsid w:val="6BDC579F"/>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45385"/>
    <w:rsid w:val="6D1C0D1C"/>
    <w:rsid w:val="6D23170F"/>
    <w:rsid w:val="6D253611"/>
    <w:rsid w:val="6D2952B8"/>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47936"/>
    <w:rsid w:val="6D563FDC"/>
    <w:rsid w:val="6D5A2C9B"/>
    <w:rsid w:val="6D5E0B4C"/>
    <w:rsid w:val="6D5E1190"/>
    <w:rsid w:val="6D611D78"/>
    <w:rsid w:val="6D6135F4"/>
    <w:rsid w:val="6D644AC3"/>
    <w:rsid w:val="6D6611E0"/>
    <w:rsid w:val="6D661353"/>
    <w:rsid w:val="6D6C1597"/>
    <w:rsid w:val="6D6E7693"/>
    <w:rsid w:val="6D702EBB"/>
    <w:rsid w:val="6D7302DF"/>
    <w:rsid w:val="6D7A324C"/>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D7516"/>
    <w:rsid w:val="6DAE1C38"/>
    <w:rsid w:val="6DB203AD"/>
    <w:rsid w:val="6DB2070A"/>
    <w:rsid w:val="6DB7599D"/>
    <w:rsid w:val="6DC12404"/>
    <w:rsid w:val="6DC24126"/>
    <w:rsid w:val="6DC3540E"/>
    <w:rsid w:val="6DC65A1E"/>
    <w:rsid w:val="6DC66DCA"/>
    <w:rsid w:val="6DC90E1F"/>
    <w:rsid w:val="6DC96A9D"/>
    <w:rsid w:val="6DCD448E"/>
    <w:rsid w:val="6DCF5C75"/>
    <w:rsid w:val="6DD53FF8"/>
    <w:rsid w:val="6DD829F0"/>
    <w:rsid w:val="6DDF7647"/>
    <w:rsid w:val="6DE36825"/>
    <w:rsid w:val="6DE4135F"/>
    <w:rsid w:val="6DE53394"/>
    <w:rsid w:val="6DE70C3E"/>
    <w:rsid w:val="6DE7336C"/>
    <w:rsid w:val="6DEB2C0E"/>
    <w:rsid w:val="6DEE6EA0"/>
    <w:rsid w:val="6DF346DE"/>
    <w:rsid w:val="6DFC7B9F"/>
    <w:rsid w:val="6DFF791B"/>
    <w:rsid w:val="6E0760D0"/>
    <w:rsid w:val="6E0927C5"/>
    <w:rsid w:val="6E0F6798"/>
    <w:rsid w:val="6E1158BA"/>
    <w:rsid w:val="6E120FD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706CF"/>
    <w:rsid w:val="6F58211E"/>
    <w:rsid w:val="6F5C2A7B"/>
    <w:rsid w:val="6F607092"/>
    <w:rsid w:val="6F6276D1"/>
    <w:rsid w:val="6F6277C3"/>
    <w:rsid w:val="6F631F0A"/>
    <w:rsid w:val="6F64001B"/>
    <w:rsid w:val="6F6538C4"/>
    <w:rsid w:val="6F671B6F"/>
    <w:rsid w:val="6F6A1E7E"/>
    <w:rsid w:val="6F6B325C"/>
    <w:rsid w:val="6F6D7596"/>
    <w:rsid w:val="6F727A8A"/>
    <w:rsid w:val="6F7D174C"/>
    <w:rsid w:val="6F7F2D74"/>
    <w:rsid w:val="6F82171B"/>
    <w:rsid w:val="6F821C53"/>
    <w:rsid w:val="6F8426D4"/>
    <w:rsid w:val="6F8614D2"/>
    <w:rsid w:val="6F875CF8"/>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957B2"/>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B757B"/>
    <w:rsid w:val="706F6FD3"/>
    <w:rsid w:val="70704FB3"/>
    <w:rsid w:val="70707694"/>
    <w:rsid w:val="707118E2"/>
    <w:rsid w:val="707B7148"/>
    <w:rsid w:val="707F3C4D"/>
    <w:rsid w:val="708063BF"/>
    <w:rsid w:val="70832954"/>
    <w:rsid w:val="70886494"/>
    <w:rsid w:val="708918E3"/>
    <w:rsid w:val="70893CAF"/>
    <w:rsid w:val="709257D1"/>
    <w:rsid w:val="709A12DB"/>
    <w:rsid w:val="709B096A"/>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07E7A"/>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1F0324"/>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077F8"/>
    <w:rsid w:val="71690217"/>
    <w:rsid w:val="716A46B9"/>
    <w:rsid w:val="717801A9"/>
    <w:rsid w:val="717E5DB8"/>
    <w:rsid w:val="717F36DE"/>
    <w:rsid w:val="71807B65"/>
    <w:rsid w:val="718778F2"/>
    <w:rsid w:val="71892B0B"/>
    <w:rsid w:val="71900F77"/>
    <w:rsid w:val="719164BB"/>
    <w:rsid w:val="71933D9A"/>
    <w:rsid w:val="719565EA"/>
    <w:rsid w:val="71987E7C"/>
    <w:rsid w:val="719F26B9"/>
    <w:rsid w:val="719F30CC"/>
    <w:rsid w:val="71A108F8"/>
    <w:rsid w:val="71A13ADE"/>
    <w:rsid w:val="71A46691"/>
    <w:rsid w:val="71A52E27"/>
    <w:rsid w:val="71A97D39"/>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1F33B4"/>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75E59"/>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A2D21"/>
    <w:rsid w:val="73AC4F28"/>
    <w:rsid w:val="73AF6D73"/>
    <w:rsid w:val="73B075D1"/>
    <w:rsid w:val="73BA45DB"/>
    <w:rsid w:val="73BA7013"/>
    <w:rsid w:val="73BE10D0"/>
    <w:rsid w:val="73C44E38"/>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5F45"/>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45BF2"/>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8E2C83"/>
    <w:rsid w:val="7590720B"/>
    <w:rsid w:val="759219B1"/>
    <w:rsid w:val="75AD4917"/>
    <w:rsid w:val="75AD4F3F"/>
    <w:rsid w:val="75AD5DED"/>
    <w:rsid w:val="75AD6B4D"/>
    <w:rsid w:val="75B57B03"/>
    <w:rsid w:val="75B7184F"/>
    <w:rsid w:val="75BA6FE1"/>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C203F"/>
    <w:rsid w:val="75FE0748"/>
    <w:rsid w:val="75FE57AD"/>
    <w:rsid w:val="76015723"/>
    <w:rsid w:val="76054065"/>
    <w:rsid w:val="76073080"/>
    <w:rsid w:val="760A0B3F"/>
    <w:rsid w:val="76105091"/>
    <w:rsid w:val="76137111"/>
    <w:rsid w:val="76160B37"/>
    <w:rsid w:val="761738FD"/>
    <w:rsid w:val="762333EB"/>
    <w:rsid w:val="76240809"/>
    <w:rsid w:val="762454EE"/>
    <w:rsid w:val="76284A99"/>
    <w:rsid w:val="762B0A64"/>
    <w:rsid w:val="76330CEC"/>
    <w:rsid w:val="76347E97"/>
    <w:rsid w:val="763E49DF"/>
    <w:rsid w:val="763F2481"/>
    <w:rsid w:val="7640418E"/>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3B7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82156"/>
    <w:rsid w:val="770B7D6A"/>
    <w:rsid w:val="770F3B36"/>
    <w:rsid w:val="771071DC"/>
    <w:rsid w:val="77184032"/>
    <w:rsid w:val="772209CB"/>
    <w:rsid w:val="7723195D"/>
    <w:rsid w:val="772A1315"/>
    <w:rsid w:val="773037BC"/>
    <w:rsid w:val="7734235A"/>
    <w:rsid w:val="773D2B51"/>
    <w:rsid w:val="773F59CC"/>
    <w:rsid w:val="774159AE"/>
    <w:rsid w:val="774858B9"/>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A203B"/>
    <w:rsid w:val="77AF421C"/>
    <w:rsid w:val="77AF4A25"/>
    <w:rsid w:val="77B16742"/>
    <w:rsid w:val="77B36B5D"/>
    <w:rsid w:val="77B61118"/>
    <w:rsid w:val="77B6396F"/>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23B80"/>
    <w:rsid w:val="7966464C"/>
    <w:rsid w:val="796B1171"/>
    <w:rsid w:val="796C3F53"/>
    <w:rsid w:val="797140B6"/>
    <w:rsid w:val="79734775"/>
    <w:rsid w:val="797352D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97A3E"/>
    <w:rsid w:val="7A1A0922"/>
    <w:rsid w:val="7A1B3F1C"/>
    <w:rsid w:val="7A1B3FAB"/>
    <w:rsid w:val="7A200264"/>
    <w:rsid w:val="7A2149C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21152"/>
    <w:rsid w:val="7A666C01"/>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6245F"/>
    <w:rsid w:val="7AF70369"/>
    <w:rsid w:val="7AF918CE"/>
    <w:rsid w:val="7B0A1118"/>
    <w:rsid w:val="7B111C3F"/>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8D2B83"/>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305C0"/>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16F95"/>
    <w:rsid w:val="7CF46A63"/>
    <w:rsid w:val="7CF71D37"/>
    <w:rsid w:val="7CFD2D79"/>
    <w:rsid w:val="7CFF767A"/>
    <w:rsid w:val="7D056861"/>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22B9A"/>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11902"/>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1720C"/>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16021"/>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7F56A6"/>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Pr>
      <w:spacing w:before="120"/>
      <w:outlineLvl w:val="2"/>
    </w:pPr>
  </w:style>
  <w:style w:type="paragraph" w:styleId="5">
    <w:name w:val="heading 4"/>
    <w:basedOn w:val="4"/>
    <w:next w:val="1"/>
    <w:link w:val="247"/>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Char Char Char Char Char Char Char Char Char Char Char Char Char Char"/>
    <w:basedOn w:val="1"/>
    <w:semiHidden/>
    <w:qFormat/>
    <w:uiPriority w:val="0"/>
    <w:pPr>
      <w:spacing w:after="240" w:afterLines="100"/>
    </w:pPr>
  </w:style>
  <w:style w:type="paragraph" w:customStyle="1" w:styleId="15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numId w:val="10"/>
      </w:numPr>
    </w:pPr>
  </w:style>
  <w:style w:type="paragraph" w:customStyle="1" w:styleId="191">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link w:val="259"/>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题注 Char"/>
    <w:link w:val="31"/>
    <w:qFormat/>
    <w:uiPriority w:val="0"/>
    <w:rPr>
      <w:rFonts w:ascii="Arial" w:hAnsi="Arial" w:eastAsia="MS Mincho" w:cs="Arial"/>
      <w:b/>
      <w:color w:val="0000FF"/>
      <w:kern w:val="2"/>
      <w:sz w:val="22"/>
      <w:lang w:val="en-US" w:eastAsia="en-US" w:bidi="ar-SA"/>
    </w:rPr>
  </w:style>
  <w:style w:type="character" w:customStyle="1" w:styleId="220">
    <w:name w:val="标题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批注文字 Char"/>
    <w:basedOn w:val="121"/>
    <w:link w:val="34"/>
    <w:qFormat/>
    <w:uiPriority w:val="0"/>
    <w:rPr>
      <w:sz w:val="22"/>
      <w:lang w:val="en-GB" w:eastAsia="en-US"/>
    </w:rPr>
  </w:style>
  <w:style w:type="character" w:customStyle="1" w:styleId="240">
    <w:name w:val="标题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标题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页眉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标题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rPr>
  </w:style>
  <w:style w:type="character" w:customStyle="1" w:styleId="257">
    <w:name w:val="via2"/>
    <w:basedOn w:val="121"/>
    <w:qFormat/>
    <w:uiPriority w:val="0"/>
    <w:rPr>
      <w:color w:val="959595"/>
    </w:rPr>
  </w:style>
  <w:style w:type="paragraph" w:customStyle="1" w:styleId="258">
    <w:name w:val="列出段落1"/>
    <w:basedOn w:val="1"/>
    <w:qFormat/>
    <w:uiPriority w:val="0"/>
    <w:pPr>
      <w:overflowPunct w:val="0"/>
      <w:autoSpaceDE w:val="0"/>
      <w:autoSpaceDN w:val="0"/>
      <w:adjustRightInd w:val="0"/>
      <w:ind w:firstLine="420" w:firstLineChars="200"/>
      <w:textAlignment w:val="baseline"/>
    </w:pPr>
    <w:rPr>
      <w:sz w:val="20"/>
      <w:lang w:val="en-US" w:eastAsia="zh-CN"/>
    </w:rPr>
  </w:style>
  <w:style w:type="character" w:customStyle="1" w:styleId="259">
    <w:name w:val="列出段落 Char"/>
    <w:link w:val="209"/>
    <w:qFormat/>
    <w:uiPriority w:val="34"/>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1968</Words>
  <Characters>11221</Characters>
  <Lines>93</Lines>
  <Paragraphs>26</Paragraphs>
  <TotalTime>1</TotalTime>
  <ScaleCrop>false</ScaleCrop>
  <LinksUpToDate>false</LinksUpToDate>
  <CharactersWithSpaces>13163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2021-10-16T15:17:00Z</dcterms:created>
  <dc:creator>Zhou Wubin</dc:creator>
  <cp:keywords>3GPP RAN WG4</cp:keywords>
  <cp:lastModifiedBy>ZTE, Fei Xue</cp:lastModifiedBy>
  <cp:lastPrinted>2019-05-07T07:50:00Z</cp:lastPrinted>
  <dcterms:modified xsi:type="dcterms:W3CDTF">2024-03-11T12:58:23Z</dcterms:modified>
  <dc:title>3GPP TSG-RAN WG4</dc:title>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F9670458DB2B4C558466F8BC89994D1E</vt:lpwstr>
  </property>
</Properties>
</file>